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pStyle w:val="3"/>
        <w:snapToGrid w:val="0"/>
        <w:spacing w:beforeLines="50" w:afterLines="50" w:line="360" w:lineRule="auto"/>
        <w:rPr>
          <w:rFonts w:ascii="仿宋_GB2312" w:hAnsi="仿宋_GB2312" w:eastAsia="仿宋_GB2312" w:cs="仿宋_GB2312"/>
          <w:bCs w:val="0"/>
          <w:color w:val="auto"/>
          <w:szCs w:val="44"/>
        </w:rPr>
      </w:pPr>
      <w:r>
        <w:rPr>
          <w:rFonts w:hint="eastAsia" w:ascii="仿宋_GB2312" w:hAnsi="仿宋_GB2312" w:eastAsia="仿宋_GB2312" w:cs="仿宋_GB2312"/>
          <w:bCs w:val="0"/>
          <w:color w:val="auto"/>
          <w:szCs w:val="44"/>
        </w:rPr>
        <w:t>《地理标志产品 大埔青花瓷》 地方标准</w:t>
      </w:r>
    </w:p>
    <w:p>
      <w:pPr>
        <w:pStyle w:val="3"/>
        <w:snapToGrid w:val="0"/>
        <w:spacing w:beforeLines="50" w:afterLines="50" w:line="360" w:lineRule="auto"/>
        <w:rPr>
          <w:rFonts w:ascii="仿宋_GB2312" w:hAnsi="仿宋_GB2312" w:eastAsia="仿宋_GB2312" w:cs="仿宋_GB2312"/>
          <w:bCs w:val="0"/>
          <w:color w:val="auto"/>
          <w:szCs w:val="44"/>
        </w:rPr>
      </w:pPr>
      <w:r>
        <w:rPr>
          <w:rFonts w:hint="eastAsia" w:ascii="仿宋_GB2312" w:hAnsi="仿宋_GB2312" w:eastAsia="仿宋_GB2312" w:cs="仿宋_GB2312"/>
          <w:bCs w:val="0"/>
          <w:color w:val="auto"/>
          <w:szCs w:val="44"/>
        </w:rPr>
        <w:t>编制说明</w:t>
      </w:r>
    </w:p>
    <w:p>
      <w:pPr>
        <w:pStyle w:val="3"/>
        <w:snapToGrid w:val="0"/>
        <w:spacing w:beforeLines="50" w:afterLines="50" w:line="360" w:lineRule="auto"/>
        <w:jc w:val="both"/>
        <w:rPr>
          <w:rFonts w:ascii="仿宋_GB2312" w:hAnsi="仿宋_GB2312" w:eastAsia="仿宋_GB2312" w:cs="仿宋_GB2312"/>
          <w:color w:val="auto"/>
          <w:sz w:val="28"/>
          <w:szCs w:val="28"/>
        </w:rPr>
      </w:pPr>
      <w:r>
        <w:rPr>
          <w:rFonts w:hint="eastAsia" w:ascii="仿宋_GB2312" w:hAnsi="仿宋_GB2312" w:eastAsia="仿宋_GB2312" w:cs="仿宋_GB2312"/>
          <w:b w:val="0"/>
          <w:bCs w:val="0"/>
          <w:color w:val="auto"/>
          <w:sz w:val="28"/>
          <w:szCs w:val="28"/>
        </w:rPr>
        <w:t>一、</w:t>
      </w:r>
      <w:r>
        <w:rPr>
          <w:rFonts w:hint="eastAsia" w:ascii="仿宋_GB2312" w:hAnsi="仿宋_GB2312" w:eastAsia="仿宋_GB2312" w:cs="仿宋_GB2312"/>
          <w:color w:val="auto"/>
          <w:sz w:val="28"/>
          <w:szCs w:val="28"/>
        </w:rPr>
        <w:t>任务来源</w:t>
      </w:r>
    </w:p>
    <w:p>
      <w:pPr>
        <w:pStyle w:val="3"/>
        <w:snapToGrid w:val="0"/>
        <w:spacing w:beforeLines="50" w:afterLines="50" w:line="360" w:lineRule="auto"/>
        <w:ind w:firstLine="560" w:firstLineChars="200"/>
        <w:jc w:val="both"/>
        <w:rPr>
          <w:rFonts w:ascii="仿宋_GB2312" w:hAnsi="楷体" w:eastAsia="仿宋_GB2312" w:cs="宋体"/>
          <w:b w:val="0"/>
          <w:color w:val="000000"/>
          <w:sz w:val="28"/>
          <w:szCs w:val="28"/>
        </w:rPr>
      </w:pPr>
      <w:r>
        <w:rPr>
          <w:rFonts w:hint="eastAsia" w:ascii="仿宋_GB2312" w:hAnsi="仿宋_GB2312" w:eastAsia="仿宋_GB2312" w:cs="仿宋_GB2312"/>
          <w:b w:val="0"/>
          <w:color w:val="auto"/>
          <w:sz w:val="28"/>
          <w:szCs w:val="28"/>
        </w:rPr>
        <w:t>根据原国家质量监督检验检疫总局《关于批准对涉县柴胡等70个产品实施国家地理标志产品保护的公告》（2016年第128号），批准“大埔青花瓷”为国家地理标志保护产品。</w:t>
      </w:r>
      <w:r>
        <w:rPr>
          <w:rFonts w:hint="eastAsia" w:ascii="仿宋_GB2312" w:hAnsi="楷体" w:eastAsia="仿宋_GB2312" w:cs="宋体"/>
          <w:b w:val="0"/>
          <w:color w:val="000000"/>
          <w:sz w:val="28"/>
          <w:szCs w:val="28"/>
        </w:rPr>
        <w:t>为顺利开展实施地理标志产品保护工作，启动配套产品地方标准，更好地保护“大埔青花瓷”的品牌和特色，促进“大埔青花瓷”产业的持续健康发展，依据《地理标志产品保护规定》的有关规定，需要制定相应的地方标准。</w:t>
      </w:r>
    </w:p>
    <w:p>
      <w:pPr>
        <w:pStyle w:val="3"/>
        <w:snapToGrid w:val="0"/>
        <w:spacing w:beforeLines="50" w:afterLines="50" w:line="360" w:lineRule="auto"/>
        <w:ind w:firstLine="560" w:firstLineChars="200"/>
        <w:jc w:val="both"/>
        <w:rPr>
          <w:rFonts w:ascii="仿宋_GB2312" w:hAnsi="仿宋_GB2312" w:eastAsia="仿宋_GB2312" w:cs="仿宋_GB2312"/>
          <w:b w:val="0"/>
          <w:color w:val="auto"/>
          <w:sz w:val="28"/>
          <w:szCs w:val="28"/>
        </w:rPr>
      </w:pPr>
      <w:r>
        <w:rPr>
          <w:rFonts w:hint="eastAsia" w:ascii="仿宋_GB2312" w:hAnsi="楷体" w:eastAsia="仿宋_GB2312" w:cs="宋体"/>
          <w:b w:val="0"/>
          <w:color w:val="000000"/>
          <w:sz w:val="28"/>
          <w:szCs w:val="28"/>
        </w:rPr>
        <w:t>梅州市市场监督管理局于2020年9月3日下发了《梅州市市场监督管理局关于批准下达2020梅州市地方标准制修订计划项目的通知》（梅市市监标准函[2020]90号）文件，同意《地理标志产品 大埔青花瓷》为梅州市地理标志产品地方标准制修订项目。</w:t>
      </w:r>
    </w:p>
    <w:p>
      <w:pPr>
        <w:pStyle w:val="3"/>
        <w:snapToGrid w:val="0"/>
        <w:spacing w:beforeLines="50" w:afterLines="50" w:line="360" w:lineRule="auto"/>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二、编制背景、目的和意义</w:t>
      </w:r>
    </w:p>
    <w:p>
      <w:pPr>
        <w:pStyle w:val="3"/>
        <w:snapToGrid w:val="0"/>
        <w:spacing w:beforeLines="50" w:afterLines="50" w:line="360" w:lineRule="auto"/>
        <w:ind w:firstLine="64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大埔县山清水秀，人杰地灵,这里的客家人以其勤劳和智慧,积淀了八百多年精湛的烧瓷技术,创造出享誉世界的大埔陶瓷，素有“南国瓷都”美誉，是中国四大青花瓷生产基地之一，以及出口陶瓷的主产地之一。2010年12月27日，中国陶瓷工业协会“中国青花瓷之乡”评审认定专家组，授予大埔县“中国青花瓷之乡”称号。</w:t>
      </w:r>
    </w:p>
    <w:p>
      <w:pPr>
        <w:pStyle w:val="3"/>
        <w:snapToGrid w:val="0"/>
        <w:spacing w:beforeLines="50" w:afterLines="50" w:line="360" w:lineRule="auto"/>
        <w:ind w:firstLine="64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大埔县生产的青花瓷画面平滑光亮，晶莹润泽，清雅明快，具有着色力强、发色鲜艳、烧成率高、呈色稳定和永不退色等特点，以产自大埔县内高岭土为原料，经风化、碓舂、淘洗（球磨）、过筛、除铁、压滤后制成坯料，经过手工塑造、拉坯或滚压、旋坯、注浆等工艺成型后成为坯体，通过在坯体上运用青花水药颜料彩绘装饰，施釉后经高温还原焰烧制而成，工艺精湛，且具有浓郁的乡土气息。              随着“大埔青花瓷”生产企业不断增加、规模不断扩大、产品质量参差不齐，容易造成品牌形象受损，不利于保护大埔青花瓷生产经营者和消费者的合法权益。因此，大埔县政府于2016年向国家质检总局申请地理标志产品保护并获得批准。经批准保护的“大埔青花瓷”在实施过程中需要配套地方标准，以保证地理标志产品保护工作顺利开展，最终启动了地方标准的编制工作。</w:t>
      </w:r>
    </w:p>
    <w:p>
      <w:pPr>
        <w:pStyle w:val="3"/>
        <w:snapToGrid w:val="0"/>
        <w:spacing w:beforeLines="50" w:afterLines="50" w:line="360" w:lineRule="auto"/>
        <w:ind w:firstLine="64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通过编制“大埔青花瓷”标准，顺利开展实施地理标志产品保护工作，有利于实现“大埔青花瓷”产品的标准化生产，保证品牌质量的高度统一，能更好塑造“大埔青花瓷”品牌形象，更好地保护“大埔青花瓷”的品牌和特色，对促进“大埔青花瓷”产业的持续健康发展，具有十分重要的意义。</w:t>
      </w:r>
    </w:p>
    <w:p>
      <w:pPr>
        <w:pStyle w:val="3"/>
        <w:snapToGrid w:val="0"/>
        <w:spacing w:beforeLines="50" w:afterLines="50" w:line="360" w:lineRule="auto"/>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三、编制思路和原则</w:t>
      </w:r>
    </w:p>
    <w:p>
      <w:pPr>
        <w:pStyle w:val="2"/>
        <w:shd w:val="clear" w:color="auto" w:fill="FFFFFF"/>
        <w:spacing w:line="360" w:lineRule="auto"/>
        <w:rPr>
          <w:rFonts w:ascii="仿宋_GB2312" w:hAnsi="仿宋_GB2312" w:eastAsia="仿宋_GB2312" w:cs="仿宋_GB2312"/>
          <w:b w:val="0"/>
          <w:kern w:val="2"/>
          <w:sz w:val="28"/>
          <w:szCs w:val="28"/>
        </w:rPr>
      </w:pPr>
      <w:r>
        <w:rPr>
          <w:rFonts w:hint="eastAsia" w:ascii="仿宋_GB2312" w:hAnsi="仿宋_GB2312" w:eastAsia="仿宋_GB2312" w:cs="仿宋_GB2312"/>
          <w:b w:val="0"/>
          <w:sz w:val="28"/>
          <w:szCs w:val="28"/>
        </w:rPr>
        <w:t xml:space="preserve">   </w:t>
      </w:r>
      <w:r>
        <w:rPr>
          <w:rFonts w:hint="eastAsia" w:ascii="仿宋_GB2312" w:hAnsi="仿宋_GB2312" w:eastAsia="仿宋_GB2312" w:cs="仿宋_GB2312"/>
          <w:b w:val="0"/>
          <w:kern w:val="2"/>
          <w:sz w:val="28"/>
          <w:szCs w:val="28"/>
        </w:rPr>
        <w:t xml:space="preserve"> 本标准的编制主要围绕国家有关法律法规、国家质量监督检验检疫总局[2005]第78号令《地理标志产品保护规定》、GB/T 17924《地理标志产品标准通用要求》和GB/T 1.1 《标准化工作导则 第1部分：标准的结构和编写》的规定，结合大埔县辖行政区当地的青花瓷生产现状、生产工艺和质量技术要求，邀请专家分析、听取当地陶瓷企业经营者和技术人员意见，确保本标准符合当地实际，适用于陶瓷企业生产，保证大埔青花瓷产品的质量和地方特色。</w:t>
      </w:r>
    </w:p>
    <w:p>
      <w:pPr>
        <w:pStyle w:val="3"/>
        <w:snapToGrid w:val="0"/>
        <w:spacing w:beforeLines="50" w:afterLines="50" w:line="360" w:lineRule="auto"/>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四、编制过程与内容的确定</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一）2020年9月份，项目立项后，为顺利完成地理标志产品地方标准制修订项目，项目申报部门进行了资料收集工作，对相关法律、法规及现行标准进行了分析和整理，初步确定了9位同志负责完成全部的标准起草工作。</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二)2020年9月，初步确定广东省大埔陶瓷工业研究所为主导单位，大埔县陶瓷产业管理办公室、大埔县市场监督管理局、广东宝丰陶瓷科技发展股份有限公司、大埔县怡丰园实业有限公司、梅州市溪山陶瓷有限公司、梅州顺源陶瓷实业有限公司、广东省梅州市质量计量监督检测所为参与单位，并发布了梅州市地方标准《地理标志产品 大埔青花瓷》起草工作组，拟定了标准起草工作组的组长为黄南兴，组员为黄萌柱、吴景礼、</w:t>
      </w:r>
      <w:r>
        <w:rPr>
          <w:rFonts w:hint="eastAsia" w:ascii="仿宋_GB2312" w:hAnsi="仿宋_GB2312" w:eastAsia="仿宋_GB2312" w:cs="仿宋_GB2312"/>
          <w:b w:val="0"/>
          <w:color w:val="auto"/>
          <w:sz w:val="28"/>
          <w:szCs w:val="28"/>
          <w:lang w:eastAsia="zh-CN"/>
        </w:rPr>
        <w:t>饶敏进</w:t>
      </w:r>
      <w:r>
        <w:rPr>
          <w:rFonts w:hint="eastAsia" w:ascii="仿宋_GB2312" w:hAnsi="仿宋_GB2312" w:eastAsia="仿宋_GB2312" w:cs="仿宋_GB2312"/>
          <w:b w:val="0"/>
          <w:color w:val="auto"/>
          <w:sz w:val="28"/>
          <w:szCs w:val="28"/>
        </w:rPr>
        <w:t>、郭福琼、黄建宏、郭晓川、黄长平、</w:t>
      </w:r>
      <w:r>
        <w:rPr>
          <w:rFonts w:hint="eastAsia" w:ascii="仿宋_GB2312" w:hAnsi="仿宋_GB2312" w:eastAsia="仿宋_GB2312" w:cs="仿宋_GB2312"/>
          <w:b w:val="0"/>
          <w:color w:val="auto"/>
          <w:sz w:val="28"/>
          <w:szCs w:val="28"/>
          <w:lang w:eastAsia="zh-CN"/>
        </w:rPr>
        <w:t>黄定策</w:t>
      </w:r>
      <w:bookmarkStart w:id="0" w:name="_GoBack"/>
      <w:bookmarkEnd w:id="0"/>
      <w:r>
        <w:rPr>
          <w:rFonts w:hint="eastAsia" w:ascii="仿宋_GB2312" w:hAnsi="仿宋_GB2312" w:eastAsia="仿宋_GB2312" w:cs="仿宋_GB2312"/>
          <w:b w:val="0"/>
          <w:color w:val="auto"/>
          <w:sz w:val="28"/>
          <w:szCs w:val="28"/>
        </w:rPr>
        <w:t>，确定了各成员之间的分工，并就调研的情况进行了探讨，确定了标准的整体框架。</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（三）2020年9月20日，在前期充足调研的前提下、标准起草工作组各司其职，形成标准工作组讨论稿，并利用了一天的时间就标准讨论稿进行了细致的讨论。标准主要起草人员全体参会并形成如下意见：</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1、标准的适用范围和保护范围进行确定；</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2、规范性引用文件的查新情况进行确定；</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3、大埔青花瓷的定义和术语进行确定；</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4、大埔青花瓷生产工艺和技术指标要求进行确定，特别是质量特色的指标和内容进行充分论证；</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5、产品安全及其他质量技术要求应与国家标准强制性内容一致；</w:t>
      </w:r>
    </w:p>
    <w:p>
      <w:pPr>
        <w:pStyle w:val="3"/>
        <w:snapToGrid w:val="0"/>
        <w:spacing w:beforeLines="50" w:afterLines="50" w:line="360" w:lineRule="auto"/>
        <w:ind w:firstLine="555"/>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6、地理标志产品地方标准的编写格式应统一和完善。</w:t>
      </w:r>
    </w:p>
    <w:p>
      <w:pPr>
        <w:spacing w:line="360" w:lineRule="auto"/>
        <w:ind w:firstLine="560" w:firstLineChars="200"/>
        <w:rPr>
          <w:rFonts w:ascii="仿宋_GB2312" w:hAnsi="仿宋_GB2312" w:eastAsia="仿宋_GB2312" w:cs="仿宋_GB2312"/>
          <w:bCs/>
          <w:kern w:val="2"/>
          <w:sz w:val="28"/>
          <w:szCs w:val="28"/>
        </w:rPr>
      </w:pPr>
      <w:r>
        <w:rPr>
          <w:rFonts w:hint="eastAsia" w:ascii="仿宋_GB2312" w:hAnsi="仿宋_GB2312" w:eastAsia="仿宋_GB2312" w:cs="仿宋_GB2312"/>
          <w:bCs/>
          <w:kern w:val="2"/>
          <w:sz w:val="28"/>
          <w:szCs w:val="28"/>
        </w:rPr>
        <w:t>（四）</w:t>
      </w:r>
      <w:r>
        <w:rPr>
          <w:rFonts w:hint="eastAsia" w:ascii="仿宋_GB2312" w:hAnsi="仿宋_GB2312" w:eastAsia="仿宋_GB2312" w:cs="仿宋_GB2312"/>
          <w:bCs/>
          <w:color w:val="auto"/>
          <w:kern w:val="2"/>
          <w:sz w:val="28"/>
          <w:szCs w:val="28"/>
        </w:rPr>
        <w:t>2020年9月30日</w:t>
      </w:r>
      <w:r>
        <w:rPr>
          <w:rFonts w:hint="eastAsia" w:ascii="仿宋_GB2312" w:hAnsi="仿宋_GB2312" w:eastAsia="仿宋_GB2312" w:cs="仿宋_GB2312"/>
          <w:bCs/>
          <w:kern w:val="2"/>
          <w:sz w:val="28"/>
          <w:szCs w:val="28"/>
        </w:rPr>
        <w:t>，通过听取多方面专家和企业代表的意见后，经标准起草工作组多次讨论和对标准内容的修正，形成《地理标志产品</w:t>
      </w:r>
      <w:r>
        <w:rPr>
          <w:rFonts w:ascii="仿宋_GB2312" w:hAnsi="仿宋_GB2312" w:eastAsia="仿宋_GB2312" w:cs="仿宋_GB2312"/>
          <w:bCs/>
          <w:kern w:val="2"/>
          <w:sz w:val="28"/>
          <w:szCs w:val="28"/>
        </w:rPr>
        <w:t>—</w:t>
      </w:r>
      <w:r>
        <w:rPr>
          <w:rFonts w:hint="eastAsia" w:ascii="仿宋_GB2312" w:hAnsi="仿宋_GB2312" w:eastAsia="仿宋_GB2312" w:cs="仿宋_GB2312"/>
          <w:bCs/>
          <w:kern w:val="2"/>
          <w:sz w:val="28"/>
          <w:szCs w:val="28"/>
        </w:rPr>
        <w:t>大埔青花瓷（征求意见稿）》广泛征求有关单位和专家的意见。</w:t>
      </w:r>
    </w:p>
    <w:p>
      <w:pPr>
        <w:pStyle w:val="3"/>
        <w:numPr>
          <w:ilvl w:val="0"/>
          <w:numId w:val="1"/>
        </w:numPr>
        <w:snapToGrid w:val="0"/>
        <w:spacing w:beforeLines="50" w:afterLines="50" w:line="360" w:lineRule="auto"/>
        <w:ind w:left="720" w:hanging="72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标准相关内容的说明</w:t>
      </w:r>
    </w:p>
    <w:p>
      <w:pPr>
        <w:pStyle w:val="3"/>
        <w:snapToGrid w:val="0"/>
        <w:spacing w:beforeLines="50" w:afterLines="50" w:line="360" w:lineRule="auto"/>
        <w:ind w:firstLine="562" w:firstLineChars="200"/>
        <w:jc w:val="both"/>
        <w:rPr>
          <w:rFonts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（一）标准的适用范围</w:t>
      </w:r>
    </w:p>
    <w:p>
      <w:pPr>
        <w:pStyle w:val="3"/>
        <w:snapToGrid w:val="0"/>
        <w:spacing w:beforeLines="50" w:afterLines="50" w:line="360" w:lineRule="auto"/>
        <w:ind w:firstLine="560" w:firstLineChars="200"/>
        <w:jc w:val="both"/>
        <w:rPr>
          <w:rFonts w:ascii="仿宋_GB2312" w:hAnsi="仿宋_GB2312" w:eastAsia="仿宋_GB2312" w:cs="仿宋_GB2312"/>
          <w:b w:val="0"/>
          <w:color w:val="auto"/>
          <w:sz w:val="28"/>
          <w:szCs w:val="28"/>
        </w:rPr>
      </w:pPr>
      <w:r>
        <w:rPr>
          <w:rFonts w:hint="eastAsia" w:ascii="仿宋_GB2312" w:hAnsi="仿宋_GB2312" w:eastAsia="仿宋_GB2312" w:cs="仿宋_GB2312"/>
          <w:b w:val="0"/>
          <w:color w:val="auto"/>
          <w:sz w:val="28"/>
          <w:szCs w:val="28"/>
        </w:rPr>
        <w:t>本标准规定了大埔青花瓷的术语和定义，地理标志产品保护范围、产品分类、生产制作、技术要求、试验方法、检验规则和包装、标志、运输、贮存规则。本标准适用于国家质量监督检验检疫总局根据《地理标志产品保护规定》批准保护的“大埔青花瓷”，即广东省大埔县现辖行政区域。</w:t>
      </w:r>
    </w:p>
    <w:p>
      <w:pPr>
        <w:pStyle w:val="3"/>
        <w:snapToGrid w:val="0"/>
        <w:spacing w:beforeLines="50" w:afterLines="50" w:line="360" w:lineRule="auto"/>
        <w:ind w:firstLine="562" w:firstLineChars="200"/>
        <w:jc w:val="both"/>
        <w:rPr>
          <w:rFonts w:ascii="仿宋_GB2312" w:hAnsi="仿宋_GB2312" w:eastAsia="仿宋_GB2312" w:cs="仿宋_GB2312"/>
          <w:bCs w:val="0"/>
          <w:color w:val="auto"/>
          <w:sz w:val="28"/>
          <w:szCs w:val="28"/>
        </w:rPr>
      </w:pPr>
      <w:r>
        <w:rPr>
          <w:rFonts w:hint="eastAsia" w:ascii="仿宋_GB2312" w:hAnsi="仿宋_GB2312" w:eastAsia="仿宋_GB2312" w:cs="仿宋_GB2312"/>
          <w:bCs w:val="0"/>
          <w:color w:val="auto"/>
          <w:sz w:val="28"/>
          <w:szCs w:val="28"/>
        </w:rPr>
        <w:t>（二）标准的属性</w:t>
      </w:r>
    </w:p>
    <w:p>
      <w:pPr>
        <w:pStyle w:val="3"/>
        <w:snapToGrid w:val="0"/>
        <w:spacing w:beforeLines="50" w:afterLines="50" w:line="360" w:lineRule="auto"/>
        <w:ind w:firstLine="560" w:firstLineChars="200"/>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《地理标志产品 大埔青花瓷》属于日用类和工艺类(即陈设艺术瓷类) 青花瓷器标准。本标准作为推荐性标准。</w:t>
      </w:r>
    </w:p>
    <w:p>
      <w:pPr>
        <w:pStyle w:val="3"/>
        <w:snapToGrid w:val="0"/>
        <w:spacing w:beforeLines="50" w:afterLines="50" w:line="360" w:lineRule="auto"/>
        <w:ind w:firstLine="562" w:firstLineChars="200"/>
        <w:jc w:val="both"/>
        <w:rPr>
          <w:rFonts w:ascii="仿宋_GB2312" w:hAnsi="仿宋_GB2312" w:eastAsia="仿宋_GB2312" w:cs="仿宋_GB2312"/>
          <w:bCs w:val="0"/>
          <w:color w:val="auto"/>
          <w:sz w:val="28"/>
          <w:szCs w:val="28"/>
        </w:rPr>
      </w:pPr>
      <w:r>
        <w:rPr>
          <w:rFonts w:hint="eastAsia" w:ascii="仿宋_GB2312" w:hAnsi="仿宋_GB2312" w:eastAsia="仿宋_GB2312" w:cs="仿宋_GB2312"/>
          <w:bCs w:val="0"/>
          <w:color w:val="auto"/>
          <w:sz w:val="28"/>
          <w:szCs w:val="28"/>
        </w:rPr>
        <w:t>（三）标准内容和指标的说明</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1、定义和缺陷术语的确定</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参照并引用GB/T 3532日用瓷器、GB/T 13524.2陈设艺术瓷器 第二部分:器皿瓷、GB/T 10811 釉下（中）彩日用瓷及</w:t>
      </w:r>
      <w:r>
        <w:rPr>
          <w:rFonts w:ascii="仿宋_GB2312" w:hAnsi="仿宋_GB2312" w:eastAsia="仿宋_GB2312" w:cs="仿宋_GB2312"/>
          <w:b w:val="0"/>
          <w:bCs w:val="0"/>
          <w:color w:val="auto"/>
          <w:sz w:val="28"/>
          <w:szCs w:val="28"/>
        </w:rPr>
        <w:t>DB36/T 747-2013</w:t>
      </w:r>
      <w:r>
        <w:rPr>
          <w:rFonts w:hint="eastAsia" w:ascii="仿宋_GB2312" w:hAnsi="仿宋_GB2312" w:eastAsia="仿宋_GB2312" w:cs="仿宋_GB2312"/>
          <w:b w:val="0"/>
          <w:bCs w:val="0"/>
          <w:color w:val="auto"/>
          <w:sz w:val="28"/>
          <w:szCs w:val="28"/>
        </w:rPr>
        <w:t xml:space="preserve"> 地理标志产品 青花瓷器 中关于日用类和工艺类(即陈设艺术瓷类) 青花瓷定义、术语及缺陷术语的表述。增加了部分大埔青花瓷地方术语、定义和缺陷术语。</w:t>
      </w:r>
    </w:p>
    <w:p>
      <w:pPr>
        <w:spacing w:beforeLines="50" w:afterLines="50" w:line="360" w:lineRule="auto"/>
        <w:ind w:firstLine="560" w:firstLineChars="20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2、生产工艺</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本标准对主要工艺流程和工艺要求进行了说明。主要工艺流程为：原料选取→自然风化→精练坯料→成型→彩绘装饰→施釉→烧成→成品→检验→包装→出厂；主要工艺要求为：精炼坯料、成型工艺、彩绘装饰、施釉工艺、烧成工艺、检验。</w:t>
      </w:r>
    </w:p>
    <w:p>
      <w:pPr>
        <w:spacing w:beforeLines="50" w:afterLines="50" w:line="360" w:lineRule="auto"/>
        <w:ind w:firstLine="560" w:firstLineChars="20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3、原料要求</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大埔青花瓷所用高岭土为产自保护区内高硅、低铁、收缩小的优质高岭土、青花水药颜料以保护区内的钴矿或氧化钴作为颜色料，经精准配料后、擂磨、过筛、陈腐后制成青花水药颜料。制作青花水药颜料的水源，取自保护区内纯净的山泉水，水质应符合国家生活饮用水标准规定，经5天</w:t>
      </w:r>
      <w:r>
        <w:rPr>
          <w:rFonts w:hint="eastAsia" w:ascii="仿宋" w:hAnsi="仿宋" w:eastAsia="仿宋" w:cs="仿宋_GB2312"/>
          <w:b w:val="0"/>
          <w:bCs w:val="0"/>
          <w:color w:val="auto"/>
          <w:sz w:val="28"/>
          <w:szCs w:val="28"/>
        </w:rPr>
        <w:t>～</w:t>
      </w:r>
      <w:r>
        <w:rPr>
          <w:rFonts w:hint="eastAsia" w:ascii="仿宋_GB2312" w:hAnsi="仿宋_GB2312" w:eastAsia="仿宋_GB2312" w:cs="仿宋_GB2312"/>
          <w:b w:val="0"/>
          <w:bCs w:val="0"/>
          <w:color w:val="auto"/>
          <w:sz w:val="28"/>
          <w:szCs w:val="28"/>
        </w:rPr>
        <w:t>7天静止陈腐后使用。高岭土、坯料、长石釉的化学组成范围应符合国家质检总局2016年第128号公告中“大埔青花瓷质量技术要求”所规定的范围。</w:t>
      </w:r>
    </w:p>
    <w:p>
      <w:pPr>
        <w:pStyle w:val="8"/>
        <w:spacing w:line="360" w:lineRule="auto"/>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4、感官要求</w:t>
      </w:r>
    </w:p>
    <w:p>
      <w:pPr>
        <w:pStyle w:val="8"/>
        <w:spacing w:line="360" w:lineRule="auto"/>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按国家质检总局2016年第128号公告中“大埔青花瓷质量技术要求”所规定的感觉特色要求、说明执行。</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5、理化指标要求</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按国家质检总局2016年第128号公告中“大埔青花瓷质量技术要求”所规定的理化指标要求执行</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6、安全规定</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食品接触用青花日用瓷类产品按GB 4806.4-2016强制标准中第4章规定执行。</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7、检验规则</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每批产品均应进行出厂检验，经检验合格附上合格证明的，方可出厂。日用类青花瓷产品检验规则按GB/T 10811-2002标准中第七章规定执行。陈设艺术（器皿瓷）类青花瓷产品检验规则按GB/T13524.2-2018标准中第七章检验规定执行。</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8、标志、标签、包装、运输和储存</w:t>
      </w:r>
    </w:p>
    <w:p>
      <w:pPr>
        <w:pStyle w:val="3"/>
        <w:snapToGrid w:val="0"/>
        <w:spacing w:beforeLines="50" w:afterLines="50" w:line="360" w:lineRule="auto"/>
        <w:ind w:firstLine="555"/>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标准规定在其产品包装上使用地理标志产品专用标志，标志应符合国家质量监督检验检疫总局规定的要求，其他规定按GB/T 3302规定执行。除有特殊要求外，每件产品的底部应标记已注册的商标或制造厂名称。成套产品包装时要求配套无差错，花面、色泽基本一样。包装上应注明产品品种、规格、配套件数和质量等级，并标注有“易碎”及“防潮”的文字或者符号。</w:t>
      </w:r>
    </w:p>
    <w:p>
      <w:pPr>
        <w:pStyle w:val="3"/>
        <w:snapToGrid w:val="0"/>
        <w:spacing w:beforeLines="50" w:afterLines="50" w:line="360" w:lineRule="auto"/>
        <w:jc w:val="both"/>
        <w:rPr>
          <w:rFonts w:ascii="仿宋_GB2312" w:hAnsi="仿宋_GB2312" w:eastAsia="仿宋_GB2312" w:cs="仿宋_GB2312"/>
          <w:bCs w:val="0"/>
          <w:color w:val="auto"/>
          <w:sz w:val="28"/>
          <w:szCs w:val="28"/>
        </w:rPr>
      </w:pPr>
      <w:r>
        <w:rPr>
          <w:rFonts w:hint="eastAsia" w:ascii="仿宋_GB2312" w:hAnsi="仿宋_GB2312" w:eastAsia="仿宋_GB2312" w:cs="仿宋_GB2312"/>
          <w:bCs w:val="0"/>
          <w:color w:val="auto"/>
          <w:sz w:val="28"/>
          <w:szCs w:val="28"/>
        </w:rPr>
        <w:t>六、相关指标与现行标准的关系</w:t>
      </w:r>
    </w:p>
    <w:p>
      <w:pPr>
        <w:pStyle w:val="3"/>
        <w:snapToGrid w:val="0"/>
        <w:spacing w:beforeLines="50" w:afterLines="50" w:line="360" w:lineRule="auto"/>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 w:val="0"/>
          <w:bCs w:val="0"/>
          <w:color w:val="auto"/>
          <w:sz w:val="28"/>
          <w:szCs w:val="28"/>
        </w:rPr>
        <w:t xml:space="preserve">    本标准符合国家法律、法规和国家强制性标准的要求，并具有独特的产品质量特色。</w:t>
      </w:r>
    </w:p>
    <w:p>
      <w:pPr>
        <w:pStyle w:val="3"/>
        <w:snapToGrid w:val="0"/>
        <w:spacing w:beforeLines="50" w:afterLines="50" w:line="360" w:lineRule="auto"/>
        <w:jc w:val="both"/>
        <w:rPr>
          <w:rFonts w:ascii="仿宋_GB2312" w:hAnsi="仿宋_GB2312" w:eastAsia="仿宋_GB2312" w:cs="仿宋_GB2312"/>
          <w:bCs w:val="0"/>
          <w:color w:val="auto"/>
          <w:sz w:val="28"/>
          <w:szCs w:val="28"/>
        </w:rPr>
      </w:pPr>
      <w:r>
        <w:rPr>
          <w:rFonts w:hint="eastAsia" w:ascii="仿宋_GB2312" w:hAnsi="仿宋_GB2312" w:eastAsia="仿宋_GB2312" w:cs="仿宋_GB2312"/>
          <w:bCs w:val="0"/>
          <w:color w:val="auto"/>
          <w:sz w:val="28"/>
          <w:szCs w:val="28"/>
        </w:rPr>
        <w:t>七、重大分歧意见的处理经过和依据</w:t>
      </w:r>
    </w:p>
    <w:p>
      <w:pPr>
        <w:spacing w:line="360" w:lineRule="auto"/>
        <w:ind w:firstLine="560" w:firstLineChars="200"/>
        <w:rPr>
          <w:rFonts w:ascii="宋体" w:hAnsi="宋体"/>
          <w:sz w:val="24"/>
          <w:szCs w:val="24"/>
        </w:rPr>
      </w:pPr>
      <w:r>
        <w:rPr>
          <w:rFonts w:hint="eastAsia" w:ascii="仿宋_GB2312" w:hAnsi="仿宋_GB2312" w:eastAsia="仿宋_GB2312" w:cs="仿宋_GB2312"/>
          <w:kern w:val="2"/>
          <w:sz w:val="28"/>
          <w:szCs w:val="28"/>
        </w:rPr>
        <w:t>由于本标准为地理标准产品地方标准，在制定标准过程中充分与生产企业沟通，形成共同意见，未出现重大分歧意见。</w:t>
      </w:r>
    </w:p>
    <w:p>
      <w:pPr>
        <w:pStyle w:val="3"/>
        <w:snapToGrid w:val="0"/>
        <w:spacing w:beforeLines="50" w:afterLines="50" w:line="360" w:lineRule="auto"/>
        <w:jc w:val="both"/>
        <w:rPr>
          <w:rFonts w:ascii="仿宋_GB2312" w:hAnsi="仿宋_GB2312" w:eastAsia="仿宋_GB2312" w:cs="仿宋_GB2312"/>
          <w:bCs w:val="0"/>
          <w:color w:val="auto"/>
          <w:sz w:val="28"/>
          <w:szCs w:val="28"/>
        </w:rPr>
      </w:pPr>
      <w:r>
        <w:rPr>
          <w:rFonts w:hint="eastAsia" w:ascii="仿宋_GB2312" w:hAnsi="仿宋_GB2312" w:eastAsia="仿宋_GB2312" w:cs="仿宋_GB2312"/>
          <w:bCs w:val="0"/>
          <w:color w:val="auto"/>
          <w:sz w:val="28"/>
          <w:szCs w:val="28"/>
        </w:rPr>
        <w:t>八、社会、经济效益</w:t>
      </w:r>
    </w:p>
    <w:p>
      <w:pPr>
        <w:pStyle w:val="3"/>
        <w:snapToGrid w:val="0"/>
        <w:spacing w:beforeLines="50" w:afterLines="50" w:line="360" w:lineRule="auto"/>
        <w:jc w:val="both"/>
        <w:rPr>
          <w:rFonts w:ascii="仿宋_GB2312" w:hAnsi="仿宋_GB2312" w:eastAsia="仿宋_GB2312" w:cs="仿宋_GB2312"/>
          <w:b w:val="0"/>
          <w:bCs w:val="0"/>
          <w:color w:val="auto"/>
          <w:sz w:val="28"/>
          <w:szCs w:val="28"/>
        </w:rPr>
      </w:pPr>
      <w:r>
        <w:rPr>
          <w:rFonts w:hint="eastAsia" w:ascii="仿宋_GB2312" w:hAnsi="仿宋_GB2312" w:eastAsia="仿宋_GB2312" w:cs="仿宋_GB2312"/>
          <w:bCs w:val="0"/>
          <w:color w:val="auto"/>
          <w:sz w:val="28"/>
          <w:szCs w:val="28"/>
        </w:rPr>
        <w:t xml:space="preserve">    </w:t>
      </w:r>
      <w:r>
        <w:rPr>
          <w:rFonts w:hint="eastAsia" w:ascii="仿宋_GB2312" w:hAnsi="仿宋_GB2312" w:eastAsia="仿宋_GB2312" w:cs="仿宋_GB2312"/>
          <w:b w:val="0"/>
          <w:bCs w:val="0"/>
          <w:color w:val="auto"/>
          <w:sz w:val="28"/>
          <w:szCs w:val="28"/>
        </w:rPr>
        <w:t>大埔县是“中国青花瓷之乡”，较好的产业基础、丰富的瓷土资源、悠久的发展历史和深厚的文化底蕴，成为大埔县陶瓷产业最大的发展优势和潜力所在。大埔青花瓷产品远销欧美、中东及东南亚等110个国家和地区，是“陶瓷之乡”，享有“南国瓷都”美誉。大埔县大力开办陶瓷产业园区和产业集群联盟，加大产业服务、政策扶持力度，加速陶瓷业发展，千年古瓷焕发出巨大活力，成为中国最具发展潜力的釉下青花瓷产区和中国青花瓷主要生产基地之一。目前，全县有高陂陶瓷工业基地1个，陶瓷生产小区4个，陶瓷生产经营企业186家，其中规模以上企业37家。全县从事陶瓷产业人员1万多人，各类专业技术人员200多人。全县陶瓷产业实现年销售收入20亿元左右，其中大埔青花瓷贡献</w:t>
      </w:r>
      <w:r>
        <w:rPr>
          <w:rFonts w:ascii="仿宋_GB2312" w:hAnsi="仿宋_GB2312" w:eastAsia="仿宋_GB2312" w:cs="仿宋_GB2312"/>
          <w:b w:val="0"/>
          <w:bCs w:val="0"/>
          <w:color w:val="auto"/>
          <w:sz w:val="28"/>
          <w:szCs w:val="28"/>
        </w:rPr>
        <w:t>卓著</w:t>
      </w:r>
      <w:r>
        <w:rPr>
          <w:rFonts w:hint="eastAsia" w:ascii="仿宋_GB2312" w:hAnsi="仿宋_GB2312" w:eastAsia="仿宋_GB2312" w:cs="仿宋_GB2312"/>
          <w:b w:val="0"/>
          <w:bCs w:val="0"/>
          <w:color w:val="auto"/>
          <w:sz w:val="28"/>
          <w:szCs w:val="28"/>
        </w:rPr>
        <w:t>。</w:t>
      </w:r>
    </w:p>
    <w:p>
      <w:pPr>
        <w:pStyle w:val="3"/>
        <w:snapToGrid w:val="0"/>
        <w:spacing w:beforeLines="50" w:afterLines="50" w:line="360" w:lineRule="auto"/>
        <w:jc w:val="both"/>
        <w:rPr>
          <w:rFonts w:ascii="仿宋_GB2312" w:hAnsi="仿宋_GB2312" w:eastAsia="仿宋_GB2312" w:cs="仿宋_GB2312"/>
          <w:b w:val="0"/>
          <w:bCs w:val="0"/>
          <w:color w:val="auto"/>
          <w:sz w:val="28"/>
          <w:szCs w:val="28"/>
        </w:rPr>
      </w:pPr>
    </w:p>
    <w:p>
      <w:pPr>
        <w:pStyle w:val="3"/>
        <w:snapToGrid w:val="0"/>
        <w:spacing w:beforeLines="50" w:afterLines="50" w:line="360" w:lineRule="auto"/>
        <w:jc w:val="both"/>
        <w:rPr>
          <w:rFonts w:ascii="仿宋_GB2312" w:hAnsi="仿宋_GB2312" w:eastAsia="仿宋_GB2312" w:cs="仿宋_GB2312"/>
          <w:bCs w:val="0"/>
          <w:color w:val="auto"/>
          <w:sz w:val="28"/>
          <w:szCs w:val="28"/>
        </w:rPr>
      </w:pPr>
      <w:r>
        <w:rPr>
          <w:rFonts w:hint="eastAsia" w:ascii="仿宋_GB2312" w:hAnsi="仿宋_GB2312" w:eastAsia="仿宋_GB2312" w:cs="仿宋_GB2312"/>
          <w:bCs w:val="0"/>
          <w:color w:val="auto"/>
          <w:sz w:val="28"/>
          <w:szCs w:val="28"/>
        </w:rPr>
        <w:t>九、参考标准和资料</w:t>
      </w:r>
    </w:p>
    <w:p>
      <w:pPr>
        <w:pStyle w:val="8"/>
        <w:wordWrap w:val="0"/>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GB/T 2828.1</w:t>
      </w:r>
      <w:r>
        <w:rPr>
          <w:rFonts w:hint="eastAsia" w:ascii="仿宋_GB2312" w:hAnsi="仿宋_GB2312" w:eastAsia="仿宋_GB2312" w:cs="仿宋_GB2312"/>
          <w:kern w:val="2"/>
          <w:sz w:val="28"/>
          <w:szCs w:val="28"/>
        </w:rPr>
        <w:t xml:space="preserve">  计数抽样检验程序 第</w:t>
      </w:r>
      <w:r>
        <w:rPr>
          <w:rFonts w:ascii="仿宋_GB2312" w:hAnsi="仿宋_GB2312" w:eastAsia="仿宋_GB2312" w:cs="仿宋_GB2312"/>
          <w:kern w:val="2"/>
          <w:sz w:val="28"/>
          <w:szCs w:val="28"/>
        </w:rPr>
        <w:t>1</w:t>
      </w:r>
      <w:r>
        <w:rPr>
          <w:rFonts w:hint="eastAsia" w:ascii="仿宋_GB2312" w:hAnsi="仿宋_GB2312" w:eastAsia="仿宋_GB2312" w:cs="仿宋_GB2312"/>
          <w:kern w:val="2"/>
          <w:sz w:val="28"/>
          <w:szCs w:val="28"/>
        </w:rPr>
        <w:t>部分</w:t>
      </w:r>
      <w:r>
        <w:rPr>
          <w:rFonts w:ascii="仿宋_GB2312" w:hAnsi="仿宋_GB2312" w:eastAsia="仿宋_GB2312" w:cs="仿宋_GB2312"/>
          <w:kern w:val="2"/>
          <w:sz w:val="28"/>
          <w:szCs w:val="28"/>
        </w:rPr>
        <w:t>:</w:t>
      </w:r>
      <w:r>
        <w:rPr>
          <w:rFonts w:hint="eastAsia" w:ascii="仿宋_GB2312" w:hAnsi="仿宋_GB2312" w:eastAsia="仿宋_GB2312" w:cs="仿宋_GB2312"/>
          <w:kern w:val="2"/>
          <w:sz w:val="28"/>
          <w:szCs w:val="28"/>
        </w:rPr>
        <w:t>按接收质量限</w:t>
      </w:r>
      <w:r>
        <w:rPr>
          <w:rFonts w:ascii="仿宋_GB2312" w:hAnsi="仿宋_GB2312" w:eastAsia="仿宋_GB2312" w:cs="仿宋_GB2312"/>
          <w:kern w:val="2"/>
          <w:sz w:val="28"/>
          <w:szCs w:val="28"/>
        </w:rPr>
        <w:t>(AQL)</w:t>
      </w:r>
      <w:r>
        <w:rPr>
          <w:rFonts w:hint="eastAsia" w:ascii="仿宋_GB2312" w:hAnsi="仿宋_GB2312" w:eastAsia="仿宋_GB2312" w:cs="仿宋_GB2312"/>
          <w:kern w:val="2"/>
          <w:sz w:val="28"/>
          <w:szCs w:val="28"/>
        </w:rPr>
        <w:t>检索的逐批检验抽样计划</w:t>
      </w:r>
    </w:p>
    <w:p>
      <w:pPr>
        <w:pStyle w:val="8"/>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 xml:space="preserve">GB/T 2829 </w:t>
      </w:r>
      <w:r>
        <w:rPr>
          <w:rFonts w:hint="eastAsia" w:ascii="仿宋_GB2312" w:hAnsi="仿宋_GB2312" w:eastAsia="仿宋_GB2312" w:cs="仿宋_GB2312"/>
          <w:kern w:val="2"/>
          <w:sz w:val="28"/>
          <w:szCs w:val="28"/>
        </w:rPr>
        <w:t xml:space="preserve"> 周期检验计数抽样程序及表（适用于对过程稳定性的检验）</w:t>
      </w:r>
    </w:p>
    <w:p>
      <w:pPr>
        <w:pStyle w:val="8"/>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 xml:space="preserve">GB/T 14506.28 </w:t>
      </w:r>
      <w:r>
        <w:rPr>
          <w:rFonts w:hint="eastAsia" w:ascii="仿宋_GB2312" w:hAnsi="仿宋_GB2312" w:eastAsia="仿宋_GB2312" w:cs="仿宋_GB2312"/>
          <w:kern w:val="2"/>
          <w:sz w:val="28"/>
          <w:szCs w:val="28"/>
        </w:rPr>
        <w:t>硅酸盐岩石化学分析方法</w:t>
      </w:r>
      <w:r>
        <w:rPr>
          <w:rFonts w:ascii="仿宋_GB2312" w:hAnsi="仿宋_GB2312" w:eastAsia="仿宋_GB2312" w:cs="仿宋_GB2312"/>
          <w:kern w:val="2"/>
          <w:sz w:val="28"/>
          <w:szCs w:val="28"/>
        </w:rPr>
        <w:t xml:space="preserve"> </w:t>
      </w:r>
      <w:r>
        <w:rPr>
          <w:rFonts w:hint="eastAsia" w:ascii="仿宋_GB2312" w:hAnsi="仿宋_GB2312" w:eastAsia="仿宋_GB2312" w:cs="仿宋_GB2312"/>
          <w:kern w:val="2"/>
          <w:sz w:val="28"/>
          <w:szCs w:val="28"/>
        </w:rPr>
        <w:t>第</w:t>
      </w:r>
      <w:r>
        <w:rPr>
          <w:rFonts w:ascii="仿宋_GB2312" w:hAnsi="仿宋_GB2312" w:eastAsia="仿宋_GB2312" w:cs="仿宋_GB2312"/>
          <w:kern w:val="2"/>
          <w:sz w:val="28"/>
          <w:szCs w:val="28"/>
        </w:rPr>
        <w:t>28</w:t>
      </w:r>
      <w:r>
        <w:rPr>
          <w:rFonts w:hint="eastAsia" w:ascii="仿宋_GB2312" w:hAnsi="仿宋_GB2312" w:eastAsia="仿宋_GB2312" w:cs="仿宋_GB2312"/>
          <w:kern w:val="2"/>
          <w:sz w:val="28"/>
          <w:szCs w:val="28"/>
        </w:rPr>
        <w:t>部分</w:t>
      </w:r>
      <w:r>
        <w:rPr>
          <w:rFonts w:ascii="仿宋_GB2312" w:hAnsi="仿宋_GB2312" w:eastAsia="仿宋_GB2312" w:cs="仿宋_GB2312"/>
          <w:kern w:val="2"/>
          <w:sz w:val="28"/>
          <w:szCs w:val="28"/>
        </w:rPr>
        <w:t>:16</w:t>
      </w:r>
      <w:r>
        <w:rPr>
          <w:rFonts w:hint="eastAsia" w:ascii="仿宋_GB2312" w:hAnsi="仿宋_GB2312" w:eastAsia="仿宋_GB2312" w:cs="仿宋_GB2312"/>
          <w:kern w:val="2"/>
          <w:sz w:val="28"/>
          <w:szCs w:val="28"/>
        </w:rPr>
        <w:t>个主次成分量测定</w:t>
      </w:r>
    </w:p>
    <w:p>
      <w:pPr>
        <w:pStyle w:val="8"/>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GB</w:t>
      </w:r>
      <w:r>
        <w:rPr>
          <w:rFonts w:hint="eastAsia" w:ascii="仿宋_GB2312" w:hAnsi="仿宋_GB2312" w:eastAsia="仿宋_GB2312" w:cs="仿宋_GB2312"/>
          <w:kern w:val="2"/>
          <w:sz w:val="28"/>
          <w:szCs w:val="28"/>
        </w:rPr>
        <w:t xml:space="preserve"> 4806.4-2016 食品安全国家标准 陶瓷制品</w:t>
      </w:r>
    </w:p>
    <w:p>
      <w:pPr>
        <w:pStyle w:val="8"/>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GB</w:t>
      </w:r>
      <w:r>
        <w:rPr>
          <w:rFonts w:hint="eastAsia" w:ascii="仿宋_GB2312" w:hAnsi="仿宋_GB2312" w:eastAsia="仿宋_GB2312" w:cs="仿宋_GB2312"/>
          <w:kern w:val="2"/>
          <w:sz w:val="28"/>
          <w:szCs w:val="28"/>
        </w:rPr>
        <w:t xml:space="preserve">/T </w:t>
      </w:r>
      <w:r>
        <w:rPr>
          <w:rFonts w:ascii="仿宋_GB2312" w:hAnsi="仿宋_GB2312" w:eastAsia="仿宋_GB2312" w:cs="仿宋_GB2312"/>
          <w:kern w:val="2"/>
          <w:sz w:val="28"/>
          <w:szCs w:val="28"/>
        </w:rPr>
        <w:t>13524.2</w:t>
      </w:r>
      <w:r>
        <w:rPr>
          <w:rFonts w:hint="eastAsia" w:ascii="仿宋_GB2312" w:hAnsi="仿宋_GB2312" w:eastAsia="仿宋_GB2312" w:cs="仿宋_GB2312"/>
          <w:kern w:val="2"/>
          <w:sz w:val="28"/>
          <w:szCs w:val="28"/>
        </w:rPr>
        <w:t>-2018</w:t>
      </w:r>
      <w:r>
        <w:rPr>
          <w:rFonts w:ascii="仿宋_GB2312" w:hAnsi="仿宋_GB2312" w:eastAsia="仿宋_GB2312" w:cs="仿宋_GB2312"/>
          <w:kern w:val="2"/>
          <w:sz w:val="28"/>
          <w:szCs w:val="28"/>
        </w:rPr>
        <w:t xml:space="preserve"> </w:t>
      </w:r>
      <w:r>
        <w:rPr>
          <w:rFonts w:hint="eastAsia" w:ascii="仿宋_GB2312" w:hAnsi="仿宋_GB2312" w:eastAsia="仿宋_GB2312" w:cs="仿宋_GB2312"/>
          <w:kern w:val="2"/>
          <w:sz w:val="28"/>
          <w:szCs w:val="28"/>
        </w:rPr>
        <w:t>陈设艺术瓷器 第二部分：器皿瓷</w:t>
      </w:r>
    </w:p>
    <w:p>
      <w:pPr>
        <w:pStyle w:val="8"/>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 xml:space="preserve">QB/T 1322 </w:t>
      </w:r>
      <w:r>
        <w:rPr>
          <w:rFonts w:hint="eastAsia" w:ascii="仿宋_GB2312" w:hAnsi="仿宋_GB2312" w:eastAsia="仿宋_GB2312" w:cs="仿宋_GB2312"/>
          <w:kern w:val="2"/>
          <w:sz w:val="28"/>
          <w:szCs w:val="28"/>
        </w:rPr>
        <w:t xml:space="preserve"> 陶瓷泥料可塑性指数测定方法</w:t>
      </w:r>
    </w:p>
    <w:p>
      <w:pPr>
        <w:pStyle w:val="8"/>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 xml:space="preserve">QB/T 2434 </w:t>
      </w:r>
      <w:r>
        <w:rPr>
          <w:rFonts w:hint="eastAsia" w:ascii="仿宋_GB2312" w:hAnsi="仿宋_GB2312" w:eastAsia="仿宋_GB2312" w:cs="仿宋_GB2312"/>
          <w:kern w:val="2"/>
          <w:sz w:val="28"/>
          <w:szCs w:val="28"/>
        </w:rPr>
        <w:t xml:space="preserve"> 日用陶瓷原料含水率的测定</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3298  日用陶瓷器抗热震性测定方法</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3299  日用陶瓷器吸水率测定方法</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3300  日用陶瓷器变形检验方法</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3301  日用陶瓷的容积、口径误差、高度误差、重量误差、缺陷尺寸的测定方法</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3302  日用陶瓷器包装、标志、运输、贮存规则</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3303  日用陶瓷器缺陷术语</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10811 釉下（中）彩日用瓷器</w:t>
      </w:r>
    </w:p>
    <w:p>
      <w:pPr>
        <w:pStyle w:val="8"/>
        <w:ind w:firstLine="560"/>
        <w:rPr>
          <w:rFonts w:ascii="仿宋_GB2312" w:hAnsi="仿宋_GB2312" w:eastAsia="仿宋_GB2312" w:cs="仿宋_GB2312"/>
          <w:kern w:val="2"/>
          <w:sz w:val="28"/>
          <w:szCs w:val="28"/>
        </w:rPr>
      </w:pPr>
      <w:r>
        <w:rPr>
          <w:rFonts w:ascii="仿宋_GB2312" w:hAnsi="仿宋_GB2312" w:eastAsia="仿宋_GB2312" w:cs="仿宋_GB2312"/>
          <w:kern w:val="2"/>
          <w:sz w:val="28"/>
          <w:szCs w:val="28"/>
        </w:rPr>
        <w:t>GB/T 3532</w:t>
      </w:r>
      <w:r>
        <w:rPr>
          <w:rFonts w:hint="eastAsia" w:ascii="仿宋_GB2312" w:hAnsi="仿宋_GB2312" w:eastAsia="仿宋_GB2312" w:cs="仿宋_GB2312"/>
          <w:kern w:val="2"/>
          <w:sz w:val="28"/>
          <w:szCs w:val="28"/>
        </w:rPr>
        <w:t xml:space="preserve"> </w:t>
      </w:r>
      <w:r>
        <w:rPr>
          <w:rFonts w:ascii="仿宋_GB2312" w:hAnsi="仿宋_GB2312" w:eastAsia="仿宋_GB2312" w:cs="仿宋_GB2312"/>
          <w:kern w:val="2"/>
          <w:sz w:val="28"/>
          <w:szCs w:val="28"/>
        </w:rPr>
        <w:t xml:space="preserve"> </w:t>
      </w:r>
      <w:r>
        <w:rPr>
          <w:rFonts w:hint="eastAsia" w:ascii="仿宋_GB2312" w:hAnsi="仿宋_GB2312" w:eastAsia="仿宋_GB2312" w:cs="仿宋_GB2312"/>
          <w:kern w:val="2"/>
          <w:sz w:val="28"/>
          <w:szCs w:val="28"/>
        </w:rPr>
        <w:t>日用瓷器</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DB36/T 747-2013 地理标志产品 青花瓷器</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3534  日用陶瓷器铅、镉溶出量的测定方法</w:t>
      </w:r>
    </w:p>
    <w:p>
      <w:pPr>
        <w:pStyle w:val="8"/>
        <w:ind w:firstLine="56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GB/T 5000  日用陶瓷名词术语</w:t>
      </w:r>
    </w:p>
    <w:p>
      <w:pPr>
        <w:ind w:firstLine="560" w:firstLineChars="20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国家质量监督检验检疫总局[2005]第78号令 《地理标志产品保护规定》</w:t>
      </w:r>
    </w:p>
    <w:p>
      <w:pPr>
        <w:ind w:firstLine="560" w:firstLineChars="200"/>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国家质量监督检验检疫总局公告[2005]151号 中华人民共和国地理标志保护产品专用标志</w:t>
      </w:r>
    </w:p>
    <w:p>
      <w:pPr>
        <w:spacing w:line="220" w:lineRule="atLeast"/>
        <w:jc w:val="right"/>
        <w:rPr>
          <w:rFonts w:ascii="仿宋_GB2312" w:hAnsi="仿宋_GB2312" w:eastAsia="仿宋_GB2312" w:cs="仿宋_GB2312"/>
          <w:kern w:val="2"/>
          <w:sz w:val="28"/>
          <w:szCs w:val="28"/>
        </w:rPr>
      </w:pPr>
      <w:r>
        <w:rPr>
          <w:rFonts w:hint="eastAsia" w:ascii="仿宋_GB2312" w:hAnsi="仿宋_GB2312" w:eastAsia="仿宋_GB2312" w:cs="仿宋_GB2312"/>
          <w:kern w:val="2"/>
          <w:sz w:val="28"/>
          <w:szCs w:val="28"/>
        </w:rPr>
        <w:t>梅州市地方标准《地理标志产品 大埔青花瓷》起草小组</w:t>
      </w:r>
    </w:p>
    <w:p>
      <w:pPr>
        <w:spacing w:line="220" w:lineRule="atLeast"/>
        <w:ind w:right="560"/>
        <w:jc w:val="right"/>
        <w:rPr>
          <w:sz w:val="28"/>
          <w:szCs w:val="28"/>
        </w:rPr>
      </w:pPr>
      <w:r>
        <w:rPr>
          <w:rFonts w:hint="eastAsia" w:ascii="仿宋_GB2312" w:hAnsi="仿宋_GB2312" w:eastAsia="仿宋_GB2312" w:cs="仿宋_GB2312"/>
          <w:kern w:val="2"/>
          <w:sz w:val="28"/>
          <w:szCs w:val="28"/>
        </w:rPr>
        <w:t>2020</w:t>
      </w:r>
      <w:r>
        <w:rPr>
          <w:rFonts w:hint="eastAsia" w:ascii="仿宋_GB2312" w:hAnsi="仿宋_GB2312" w:eastAsia="仿宋_GB2312" w:cs="仿宋_GB2312"/>
          <w:kern w:val="2"/>
          <w:sz w:val="28"/>
          <w:szCs w:val="28"/>
          <w:lang w:eastAsia="zh-CN"/>
        </w:rPr>
        <w:t>年</w:t>
      </w:r>
      <w:r>
        <w:rPr>
          <w:rFonts w:hint="eastAsia" w:ascii="仿宋_GB2312" w:hAnsi="仿宋_GB2312" w:eastAsia="仿宋_GB2312" w:cs="仿宋_GB2312"/>
          <w:kern w:val="2"/>
          <w:sz w:val="28"/>
          <w:szCs w:val="28"/>
        </w:rPr>
        <w:t>9</w:t>
      </w:r>
      <w:r>
        <w:rPr>
          <w:rFonts w:hint="eastAsia" w:ascii="仿宋_GB2312" w:hAnsi="仿宋_GB2312" w:eastAsia="仿宋_GB2312" w:cs="仿宋_GB2312"/>
          <w:kern w:val="2"/>
          <w:sz w:val="28"/>
          <w:szCs w:val="28"/>
          <w:lang w:eastAsia="zh-CN"/>
        </w:rPr>
        <w:t>月</w:t>
      </w:r>
      <w:r>
        <w:rPr>
          <w:rFonts w:hint="eastAsia" w:ascii="仿宋_GB2312" w:hAnsi="仿宋_GB2312" w:eastAsia="仿宋_GB2312" w:cs="仿宋_GB2312"/>
          <w:kern w:val="2"/>
          <w:sz w:val="28"/>
          <w:szCs w:val="28"/>
        </w:rPr>
        <w:t>30</w:t>
      </w:r>
      <w:r>
        <w:rPr>
          <w:rFonts w:hint="eastAsia" w:ascii="仿宋_GB2312" w:hAnsi="仿宋_GB2312" w:eastAsia="仿宋_GB2312" w:cs="仿宋_GB2312"/>
          <w:kern w:val="2"/>
          <w:sz w:val="28"/>
          <w:szCs w:val="28"/>
          <w:lang w:eastAsia="zh-CN"/>
        </w:rPr>
        <w:t>日</w:t>
      </w:r>
    </w:p>
    <w:sectPr>
      <w:pgSz w:w="11906" w:h="16838"/>
      <w:pgMar w:top="1440" w:right="1800" w:bottom="1440" w:left="1800" w:header="708" w:footer="708" w:gutter="0"/>
      <w:cols w:space="720" w:num="1"/>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仿宋_GB2312">
    <w:altName w:val="仿宋"/>
    <w:panose1 w:val="00000000000000000000"/>
    <w:charset w:val="86"/>
    <w:family w:val="auto"/>
    <w:pitch w:val="default"/>
    <w:sig w:usb0="00000001" w:usb1="080E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451632105">
    <w:nsid w:val="568625E9"/>
    <w:multiLevelType w:val="singleLevel"/>
    <w:tmpl w:val="568625E9"/>
    <w:lvl w:ilvl="0" w:tentative="1">
      <w:start w:val="5"/>
      <w:numFmt w:val="chineseCounting"/>
      <w:suff w:val="nothing"/>
      <w:lvlText w:val="%1、"/>
      <w:lvlJc w:val="left"/>
    </w:lvl>
  </w:abstractNum>
  <w:num w:numId="1">
    <w:abstractNumId w:val="145163210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720"/>
  <w:displayHorizontalDrawingGridEvery w:val="1"/>
  <w:displayVerticalDrawingGridEvery w:val="1"/>
  <w:characterSpacingControl w:val="doNotCompress"/>
  <w:compat>
    <w:spaceForUL/>
    <w:doNotLeaveBackslashAlone/>
    <w:ulTrailSpace/>
    <w:useFELayout/>
    <w:useNormalStyleForList/>
    <w:allowSpaceOfSameStyleInTable/>
    <w:doNotSuppressIndentation/>
    <w:doNotAutofitConstrainedTables/>
    <w:autofitToFirstFixedWidthCell/>
    <w:displayHangulFixedWidth/>
    <w:doNotVertAlignCellWithSp/>
    <w:doNotBreakConstrainedForcedTable/>
    <w:doNotVertAlignInTxbx/>
    <w:useAnsiKerningPairs/>
    <w:cachedColBalance/>
  </w:compat>
  <w:rsids>
    <w:rsidRoot w:val="00D31D50"/>
    <w:rsid w:val="000377FE"/>
    <w:rsid w:val="000859D1"/>
    <w:rsid w:val="00190711"/>
    <w:rsid w:val="001C3916"/>
    <w:rsid w:val="001D20AD"/>
    <w:rsid w:val="001E4FCE"/>
    <w:rsid w:val="001E51BE"/>
    <w:rsid w:val="001E7877"/>
    <w:rsid w:val="001F51EE"/>
    <w:rsid w:val="00252E7E"/>
    <w:rsid w:val="00255012"/>
    <w:rsid w:val="002B3E3C"/>
    <w:rsid w:val="002F4A78"/>
    <w:rsid w:val="00302F3F"/>
    <w:rsid w:val="003156EF"/>
    <w:rsid w:val="00323B43"/>
    <w:rsid w:val="00330A69"/>
    <w:rsid w:val="00370B9B"/>
    <w:rsid w:val="003A0334"/>
    <w:rsid w:val="003B39EE"/>
    <w:rsid w:val="003D37D8"/>
    <w:rsid w:val="003E7A63"/>
    <w:rsid w:val="00426133"/>
    <w:rsid w:val="004358AB"/>
    <w:rsid w:val="004458FD"/>
    <w:rsid w:val="00454374"/>
    <w:rsid w:val="004543E6"/>
    <w:rsid w:val="004659F1"/>
    <w:rsid w:val="00474DD9"/>
    <w:rsid w:val="004F3A25"/>
    <w:rsid w:val="00512E52"/>
    <w:rsid w:val="0055680B"/>
    <w:rsid w:val="005672CC"/>
    <w:rsid w:val="005F6E90"/>
    <w:rsid w:val="006A6E91"/>
    <w:rsid w:val="00707075"/>
    <w:rsid w:val="00732E6D"/>
    <w:rsid w:val="00750DE4"/>
    <w:rsid w:val="0076316B"/>
    <w:rsid w:val="007D5B49"/>
    <w:rsid w:val="00826606"/>
    <w:rsid w:val="00872568"/>
    <w:rsid w:val="008B7726"/>
    <w:rsid w:val="008E2A8B"/>
    <w:rsid w:val="009778B2"/>
    <w:rsid w:val="00A04CC9"/>
    <w:rsid w:val="00A5021E"/>
    <w:rsid w:val="00A61B41"/>
    <w:rsid w:val="00AA140F"/>
    <w:rsid w:val="00B02495"/>
    <w:rsid w:val="00B038BC"/>
    <w:rsid w:val="00B061A2"/>
    <w:rsid w:val="00B479F9"/>
    <w:rsid w:val="00B97E7B"/>
    <w:rsid w:val="00BA7061"/>
    <w:rsid w:val="00BB6BF2"/>
    <w:rsid w:val="00C35A23"/>
    <w:rsid w:val="00CC2156"/>
    <w:rsid w:val="00CD2D55"/>
    <w:rsid w:val="00CF7E77"/>
    <w:rsid w:val="00D31D50"/>
    <w:rsid w:val="00D47EF0"/>
    <w:rsid w:val="00D75F62"/>
    <w:rsid w:val="00DB238B"/>
    <w:rsid w:val="00DC0722"/>
    <w:rsid w:val="00DC4378"/>
    <w:rsid w:val="00DD7B12"/>
    <w:rsid w:val="00DF2B1C"/>
    <w:rsid w:val="00E856CE"/>
    <w:rsid w:val="00EA32A0"/>
    <w:rsid w:val="00F47B04"/>
    <w:rsid w:val="00F47CB4"/>
    <w:rsid w:val="00F75609"/>
    <w:rsid w:val="00FA0768"/>
    <w:rsid w:val="00FE02DA"/>
    <w:rsid w:val="382E57D3"/>
    <w:rsid w:val="54B05018"/>
  </w:rsids>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微软雅黑" w:cs="Times New Roman"/>
        <w:lang w:val="en-US" w:eastAsia="zh-CN" w:bidi="ar-SA"/>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uiPriority="99" w:semiHidden="0" w:name="header"/>
    <w:lsdException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semiHidden="0" w:name="Default Paragraph Font"/>
    <w:lsdException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semiHidden="0"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adjustRightInd w:val="0"/>
      <w:snapToGrid w:val="0"/>
      <w:spacing w:after="200" w:line="240" w:lineRule="auto"/>
    </w:pPr>
    <w:rPr>
      <w:rFonts w:ascii="Tahoma" w:hAnsi="Tahoma" w:eastAsia="微软雅黑" w:cs="黑体"/>
      <w:sz w:val="22"/>
      <w:szCs w:val="22"/>
      <w:lang w:val="en-US" w:eastAsia="zh-CN" w:bidi="ar-SA"/>
    </w:rPr>
  </w:style>
  <w:style w:type="paragraph" w:styleId="2">
    <w:name w:val="heading 3"/>
    <w:basedOn w:val="1"/>
    <w:link w:val="13"/>
    <w:qFormat/>
    <w:uiPriority w:val="9"/>
    <w:pPr>
      <w:adjustRightInd/>
      <w:snapToGrid/>
      <w:spacing w:before="100" w:beforeAutospacing="1" w:after="100" w:afterAutospacing="1"/>
      <w:outlineLvl w:val="2"/>
    </w:pPr>
    <w:rPr>
      <w:rFonts w:ascii="宋体" w:hAnsi="宋体" w:eastAsia="宋体" w:cs="宋体"/>
      <w:b/>
      <w:bCs/>
      <w:sz w:val="27"/>
      <w:szCs w:val="27"/>
    </w:rPr>
  </w:style>
  <w:style w:type="character" w:default="1" w:styleId="6">
    <w:name w:val="Default Paragraph Font"/>
    <w:unhideWhenUsed/>
    <w:uiPriority w:val="1"/>
  </w:style>
  <w:style w:type="table" w:default="1" w:styleId="7">
    <w:name w:val="Normal Table"/>
    <w:unhideWhenUsed/>
    <w:qFormat/>
    <w:uiPriority w:val="99"/>
    <w:tblPr>
      <w:tblStyle w:val="7"/>
      <w:tblLayout w:type="fixed"/>
      <w:tblCellMar>
        <w:top w:w="0" w:type="dxa"/>
        <w:left w:w="108" w:type="dxa"/>
        <w:bottom w:w="0" w:type="dxa"/>
        <w:right w:w="108" w:type="dxa"/>
      </w:tblCellMar>
    </w:tblPr>
    <w:tcPr>
      <w:textDirection w:val="lrTb"/>
    </w:tcPr>
  </w:style>
  <w:style w:type="paragraph" w:styleId="3">
    <w:name w:val="Body Text"/>
    <w:basedOn w:val="1"/>
    <w:link w:val="12"/>
    <w:uiPriority w:val="0"/>
    <w:pPr>
      <w:widowControl w:val="0"/>
      <w:adjustRightInd/>
      <w:snapToGrid/>
      <w:spacing w:after="0"/>
      <w:jc w:val="center"/>
    </w:pPr>
    <w:rPr>
      <w:rFonts w:ascii="宋体" w:hAnsi="Times New Roman" w:eastAsia="宋体" w:cs="Times New Roman"/>
      <w:b/>
      <w:bCs/>
      <w:color w:val="FF0000"/>
      <w:kern w:val="2"/>
      <w:sz w:val="44"/>
      <w:szCs w:val="36"/>
    </w:rPr>
  </w:style>
  <w:style w:type="paragraph" w:styleId="4">
    <w:name w:val="footer"/>
    <w:basedOn w:val="1"/>
    <w:link w:val="11"/>
    <w:unhideWhenUsed/>
    <w:uiPriority w:val="99"/>
    <w:pPr>
      <w:tabs>
        <w:tab w:val="center" w:pos="4153"/>
        <w:tab w:val="right" w:pos="8306"/>
      </w:tabs>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jc w:val="center"/>
    </w:pPr>
    <w:rPr>
      <w:sz w:val="18"/>
      <w:szCs w:val="18"/>
    </w:rPr>
  </w:style>
  <w:style w:type="paragraph" w:customStyle="1" w:styleId="8">
    <w:name w:val="段"/>
    <w:link w:val="14"/>
    <w:uiPriority w:val="0"/>
    <w:pPr>
      <w:tabs>
        <w:tab w:val="center" w:pos="4201"/>
        <w:tab w:val="right" w:leader="dot" w:pos="9298"/>
      </w:tabs>
      <w:autoSpaceDE w:val="0"/>
      <w:autoSpaceDN w:val="0"/>
      <w:spacing w:after="0" w:line="240" w:lineRule="auto"/>
      <w:ind w:firstLine="420" w:firstLineChars="200"/>
      <w:jc w:val="both"/>
    </w:pPr>
    <w:rPr>
      <w:rFonts w:ascii="宋体" w:hAnsi="Times New Roman" w:eastAsia="宋体" w:cs="Times New Roman"/>
      <w:sz w:val="21"/>
      <w:szCs w:val="20"/>
      <w:lang w:val="en-US" w:eastAsia="zh-CN" w:bidi="ar-SA"/>
    </w:rPr>
  </w:style>
  <w:style w:type="paragraph" w:customStyle="1" w:styleId="9">
    <w:name w:val="封面标准名称"/>
    <w:uiPriority w:val="0"/>
    <w:pPr>
      <w:widowControl w:val="0"/>
      <w:spacing w:after="0" w:line="680" w:lineRule="exact"/>
      <w:jc w:val="center"/>
      <w:textAlignment w:val="center"/>
    </w:pPr>
    <w:rPr>
      <w:rFonts w:ascii="黑体" w:hAnsi="Times New Roman" w:eastAsia="黑体" w:cs="Times New Roman"/>
      <w:sz w:val="52"/>
      <w:szCs w:val="20"/>
      <w:lang w:val="en-US" w:eastAsia="zh-CN" w:bidi="ar-SA"/>
    </w:rPr>
  </w:style>
  <w:style w:type="character" w:customStyle="1" w:styleId="10">
    <w:name w:val="页眉 Char"/>
    <w:basedOn w:val="6"/>
    <w:link w:val="5"/>
    <w:semiHidden/>
    <w:uiPriority w:val="99"/>
    <w:rPr>
      <w:rFonts w:ascii="Tahoma" w:hAnsi="Tahoma"/>
      <w:sz w:val="18"/>
      <w:szCs w:val="18"/>
    </w:rPr>
  </w:style>
  <w:style w:type="character" w:customStyle="1" w:styleId="11">
    <w:name w:val="页脚 Char"/>
    <w:basedOn w:val="6"/>
    <w:link w:val="4"/>
    <w:semiHidden/>
    <w:uiPriority w:val="99"/>
    <w:rPr>
      <w:rFonts w:ascii="Tahoma" w:hAnsi="Tahoma"/>
      <w:sz w:val="18"/>
      <w:szCs w:val="18"/>
    </w:rPr>
  </w:style>
  <w:style w:type="character" w:customStyle="1" w:styleId="12">
    <w:name w:val="正文文本 Char"/>
    <w:basedOn w:val="6"/>
    <w:link w:val="3"/>
    <w:uiPriority w:val="0"/>
    <w:rPr>
      <w:rFonts w:ascii="宋体" w:hAnsi="Times New Roman" w:eastAsia="宋体" w:cs="Times New Roman"/>
      <w:b/>
      <w:bCs/>
      <w:color w:val="FF0000"/>
      <w:kern w:val="2"/>
      <w:sz w:val="44"/>
      <w:szCs w:val="36"/>
    </w:rPr>
  </w:style>
  <w:style w:type="character" w:customStyle="1" w:styleId="13">
    <w:name w:val="标题 3 Char"/>
    <w:basedOn w:val="6"/>
    <w:link w:val="2"/>
    <w:uiPriority w:val="9"/>
    <w:rPr>
      <w:rFonts w:ascii="宋体" w:hAnsi="宋体" w:eastAsia="宋体" w:cs="宋体"/>
      <w:b/>
      <w:bCs/>
      <w:sz w:val="27"/>
      <w:szCs w:val="27"/>
    </w:rPr>
  </w:style>
  <w:style w:type="character" w:customStyle="1" w:styleId="14">
    <w:name w:val="段 Char"/>
    <w:basedOn w:val="6"/>
    <w:link w:val="8"/>
    <w:uiPriority w:val="0"/>
    <w:rPr>
      <w:rFonts w:ascii="宋体" w:hAnsi="Times New Roman" w:eastAsia="宋体" w:cs="Times New Roman"/>
      <w:sz w:val="21"/>
      <w:szCs w:val="20"/>
    </w:rPr>
  </w:style>
</w:styles>
</file>

<file path=word/_rels/document.xml.rels><?xml version="1.0" encoding="UTF-8" standalone="yes"?>
<Relationships xmlns="http://schemas.openxmlformats.org/package/2006/relationships"><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639</Words>
  <Characters>3647</Characters>
  <Lines>30</Lines>
  <Paragraphs>8</Paragraphs>
  <ScaleCrop>false</ScaleCrop>
  <LinksUpToDate>false</LinksUpToDate>
  <CharactersWithSpaces>0</CharactersWithSpaces>
  <Application>WPS Office 专业版_9.1.0.4940_F1E327BC-269C-435d-A152-05C5408002CA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2008-09-11T17:20:00Z</dcterms:created>
  <cp:lastModifiedBy>饶敏进</cp:lastModifiedBy>
  <dcterms:modified xsi:type="dcterms:W3CDTF">2020-10-09T00:33:02Z</dcterms:modified>
  <dc:title>《地理标志产品 大埔青花瓷》 地方标准</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2052-9.1.0.4940</vt:lpwstr>
  </property>
</Properties>
</file>