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p>
    <w:p>
      <w:pPr>
        <w:jc w:val="center"/>
        <w:rPr>
          <w:rFonts w:ascii="Times New Roman" w:hAnsi="Times New Roman" w:eastAsia="文星标宋" w:cs="Times New Roman"/>
          <w:sz w:val="44"/>
          <w:szCs w:val="44"/>
        </w:rPr>
      </w:pPr>
    </w:p>
    <w:p>
      <w:pPr>
        <w:jc w:val="center"/>
        <w:rPr>
          <w:rFonts w:hint="default" w:ascii="黑体" w:hAnsi="黑体" w:eastAsia="黑体" w:cs="黑体"/>
          <w:sz w:val="44"/>
          <w:szCs w:val="44"/>
          <w:lang w:val="en-US" w:eastAsia="zh-CN"/>
        </w:rPr>
      </w:pPr>
      <w:r>
        <w:rPr>
          <w:rFonts w:hint="eastAsia" w:ascii="黑体" w:hAnsi="黑体" w:eastAsia="黑体" w:cs="黑体"/>
          <w:sz w:val="44"/>
          <w:szCs w:val="44"/>
        </w:rPr>
        <w:t>梅州市节能“十四五”规划</w:t>
      </w:r>
      <w:r>
        <w:rPr>
          <w:rFonts w:hint="eastAsia" w:ascii="黑体" w:hAnsi="黑体" w:eastAsia="黑体" w:cs="黑体"/>
          <w:sz w:val="44"/>
          <w:szCs w:val="44"/>
          <w:lang w:val="en-US" w:eastAsia="zh-CN"/>
        </w:rPr>
        <w:t>纲要</w:t>
      </w:r>
    </w:p>
    <w:p>
      <w:pPr>
        <w:rPr>
          <w:rFonts w:ascii="Times New Roman" w:hAnsi="Times New Roman" w:eastAsia="文星仿宋" w:cs="Times New Roman"/>
          <w:sz w:val="32"/>
          <w:szCs w:val="32"/>
        </w:rPr>
      </w:pPr>
    </w:p>
    <w:p>
      <w:pPr>
        <w:pStyle w:val="22"/>
        <w:bidi w:val="0"/>
      </w:pPr>
      <w:r>
        <w:t>根据</w:t>
      </w:r>
      <w:r>
        <w:rPr>
          <w:rFonts w:hint="eastAsia"/>
        </w:rPr>
        <w:t>中央和省以及市委市政府的部署和要求</w:t>
      </w:r>
      <w:r>
        <w:t>，制订梅州市</w:t>
      </w:r>
      <w:r>
        <w:rPr>
          <w:rFonts w:hint="eastAsia"/>
        </w:rPr>
        <w:t>节能“十四五”规划</w:t>
      </w:r>
      <w:r>
        <w:rPr>
          <w:rFonts w:hint="eastAsia"/>
          <w:lang w:val="en-US" w:eastAsia="zh-CN"/>
        </w:rPr>
        <w:t>纲要</w:t>
      </w:r>
      <w:r>
        <w:t>。</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ascii="黑体" w:hAnsi="黑体" w:eastAsia="黑体" w:cs="黑体"/>
          <w:spacing w:val="-6"/>
          <w:sz w:val="32"/>
          <w:szCs w:val="32"/>
        </w:rPr>
      </w:pPr>
      <w:bookmarkStart w:id="0" w:name="_Toc435747919"/>
      <w:r>
        <w:rPr>
          <w:rFonts w:hint="eastAsia" w:ascii="黑体" w:hAnsi="黑体" w:eastAsia="黑体" w:cs="黑体"/>
          <w:spacing w:val="-6"/>
          <w:sz w:val="32"/>
          <w:szCs w:val="32"/>
        </w:rPr>
        <w:t>第一章</w:t>
      </w:r>
      <w:bookmarkEnd w:id="0"/>
      <w:r>
        <w:rPr>
          <w:rFonts w:hint="eastAsia" w:ascii="黑体" w:hAnsi="黑体" w:eastAsia="黑体" w:cs="黑体"/>
          <w:spacing w:val="-6"/>
          <w:sz w:val="32"/>
          <w:szCs w:val="32"/>
          <w:lang w:val="en-US"/>
        </w:rPr>
        <w:t xml:space="preserve">  </w:t>
      </w:r>
      <w:r>
        <w:rPr>
          <w:rFonts w:hint="eastAsia" w:ascii="黑体" w:hAnsi="黑体" w:eastAsia="黑体" w:cs="黑体"/>
          <w:spacing w:val="-6"/>
          <w:sz w:val="32"/>
          <w:szCs w:val="32"/>
        </w:rPr>
        <w:t>发展环境</w:t>
      </w:r>
    </w:p>
    <w:p>
      <w:pPr>
        <w:pStyle w:val="22"/>
        <w:bidi w:val="0"/>
      </w:pPr>
      <w:bookmarkStart w:id="1" w:name="_Toc435747920"/>
      <w:r>
        <w:rPr>
          <w:rFonts w:hint="eastAsia"/>
        </w:rPr>
        <w:t>“十四五”时期是我省实现“四个走在全国前列”、当好“两个重要窗口”的关键时期，也是我市建立绿色低碳循环发展经济体系、争当生态发展区建设先行示范市的关键阶段。</w:t>
      </w:r>
    </w:p>
    <w:p>
      <w:pPr>
        <w:pStyle w:val="22"/>
        <w:bidi w:val="0"/>
        <w:rPr>
          <w:rFonts w:hint="eastAsia" w:ascii="Times New Roman" w:hAnsi="Times New Roman" w:eastAsia="文星仿宋" w:cs="Times New Roman"/>
          <w:spacing w:val="-6"/>
          <w:sz w:val="32"/>
          <w:szCs w:val="32"/>
          <w:lang w:eastAsia="zh-CN"/>
        </w:rPr>
      </w:pPr>
      <w:r>
        <w:rPr>
          <w:rFonts w:hint="eastAsia" w:ascii="楷体" w:hAnsi="楷体" w:eastAsia="楷体" w:cs="楷体"/>
          <w:bCs/>
          <w:sz w:val="32"/>
          <w:szCs w:val="32"/>
        </w:rPr>
        <w:t>（一）</w:t>
      </w:r>
      <w:r>
        <w:rPr>
          <w:rFonts w:hint="eastAsia" w:ascii="楷体" w:hAnsi="楷体" w:eastAsia="楷体" w:cs="楷体"/>
          <w:bCs/>
          <w:sz w:val="32"/>
          <w:szCs w:val="32"/>
          <w:lang w:val="en-US" w:eastAsia="zh-CN"/>
        </w:rPr>
        <w:t>发展现状</w:t>
      </w:r>
      <w:r>
        <w:rPr>
          <w:rFonts w:hint="eastAsia" w:ascii="楷体" w:hAnsi="楷体" w:eastAsia="楷体" w:cs="楷体"/>
          <w:bCs/>
          <w:sz w:val="32"/>
          <w:szCs w:val="32"/>
        </w:rPr>
        <w:t>。</w:t>
      </w:r>
      <w:r>
        <w:rPr>
          <w:rFonts w:hint="eastAsia"/>
        </w:rPr>
        <w:t>“十三五”期间，梅州市入选国家节能减排财政政策综合示范城市</w:t>
      </w:r>
      <w:r>
        <w:rPr>
          <w:rFonts w:hint="eastAsia"/>
          <w:lang w:eastAsia="zh-CN"/>
        </w:rPr>
        <w:t>，出台了节能减排长效机制和配套政策，产业低碳化、交通清洁化、建筑绿色化、服务集约化、主要污染物减量化、可再生能源利用规模化等工作取得显著成效；经济产业结构与能源消费结构持续优化，工业、建筑、交通、公共机构等重点领域节能成效显著。</w:t>
      </w:r>
      <w:r>
        <w:rPr>
          <w:rFonts w:hint="eastAsia"/>
          <w:lang w:val="en-US" w:eastAsia="zh-CN"/>
        </w:rPr>
        <w:t>但</w:t>
      </w:r>
      <w:r>
        <w:rPr>
          <w:rFonts w:hint="eastAsia"/>
          <w:lang w:eastAsia="zh-CN"/>
        </w:rPr>
        <w:t>受“</w:t>
      </w:r>
      <w:r>
        <w:rPr>
          <w:rFonts w:hint="eastAsia"/>
          <w:lang w:val="en-US" w:eastAsia="zh-CN"/>
        </w:rPr>
        <w:t>十三五</w:t>
      </w:r>
      <w:r>
        <w:rPr>
          <w:rFonts w:hint="eastAsia"/>
          <w:lang w:eastAsia="zh-CN"/>
        </w:rPr>
        <w:t>”</w:t>
      </w:r>
      <w:r>
        <w:rPr>
          <w:rFonts w:hint="eastAsia"/>
          <w:lang w:val="en-US" w:eastAsia="zh-CN"/>
        </w:rPr>
        <w:t>中后期</w:t>
      </w:r>
      <w:r>
        <w:rPr>
          <w:rFonts w:hint="eastAsia"/>
          <w:lang w:eastAsia="zh-CN"/>
        </w:rPr>
        <w:t>高能耗项目的持续投产影响，“十三五”期间</w:t>
      </w:r>
      <w:r>
        <w:rPr>
          <w:rFonts w:hint="eastAsia"/>
          <w:lang w:val="en-US" w:eastAsia="zh-CN"/>
        </w:rPr>
        <w:t>未完成广东省下达的</w:t>
      </w:r>
      <w:r>
        <w:rPr>
          <w:rFonts w:hint="eastAsia"/>
          <w:lang w:eastAsia="zh-CN"/>
        </w:rPr>
        <w:t>能源“双控”指标。</w:t>
      </w:r>
    </w:p>
    <w:bookmarkEnd w:id="1"/>
    <w:p>
      <w:pPr>
        <w:pStyle w:val="22"/>
        <w:bidi w:val="0"/>
        <w:rPr>
          <w:rFonts w:hint="default" w:ascii="Times New Roman" w:hAnsi="Times New Roman" w:eastAsia="文星仿宋" w:cs="Times New Roman"/>
          <w:spacing w:val="-6"/>
          <w:sz w:val="32"/>
          <w:szCs w:val="32"/>
          <w:lang w:val="en-US" w:eastAsia="zh-CN"/>
        </w:rPr>
      </w:pPr>
      <w:r>
        <w:rPr>
          <w:rFonts w:hint="eastAsia" w:ascii="楷体" w:hAnsi="楷体" w:eastAsia="楷体" w:cs="楷体"/>
          <w:bCs/>
          <w:sz w:val="32"/>
          <w:szCs w:val="32"/>
        </w:rPr>
        <w:t>（二）</w:t>
      </w:r>
      <w:r>
        <w:rPr>
          <w:rFonts w:hint="eastAsia" w:ascii="楷体" w:hAnsi="楷体" w:eastAsia="楷体" w:cs="楷体"/>
          <w:bCs/>
          <w:sz w:val="32"/>
          <w:szCs w:val="32"/>
          <w:lang w:val="en-US" w:eastAsia="zh-CN"/>
        </w:rPr>
        <w:t>存在问题</w:t>
      </w:r>
      <w:r>
        <w:rPr>
          <w:rFonts w:hint="eastAsia" w:ascii="楷体" w:hAnsi="楷体" w:eastAsia="楷体" w:cs="楷体"/>
          <w:bCs/>
          <w:sz w:val="32"/>
          <w:szCs w:val="32"/>
        </w:rPr>
        <w:t>。</w:t>
      </w:r>
      <w:r>
        <w:rPr>
          <w:rFonts w:hint="eastAsia"/>
          <w:b/>
          <w:bCs/>
          <w:lang w:val="en-US" w:eastAsia="zh-CN"/>
        </w:rPr>
        <w:t>一是</w:t>
      </w:r>
      <w:r>
        <w:rPr>
          <w:rFonts w:hint="eastAsia"/>
          <w:b w:val="0"/>
          <w:bCs w:val="0"/>
          <w:lang w:val="en-US" w:eastAsia="zh-CN"/>
        </w:rPr>
        <w:t>以</w:t>
      </w:r>
      <w:r>
        <w:rPr>
          <w:rFonts w:hint="eastAsia"/>
          <w:lang w:val="en-US" w:eastAsia="zh-CN"/>
        </w:rPr>
        <w:t>非金属矿物制品业以及电力、热力生产和供应业等高耗能行业为主的产业结构，导致节能工作受市场行情影响较大，难以对其合理管控，产业结构亟待调整至高附加值的新型工业行业中。</w:t>
      </w:r>
      <w:r>
        <w:rPr>
          <w:rFonts w:hint="eastAsia"/>
          <w:b/>
          <w:bCs/>
          <w:lang w:val="en-US" w:eastAsia="zh-CN"/>
        </w:rPr>
        <w:t>二是</w:t>
      </w:r>
      <w:r>
        <w:rPr>
          <w:rFonts w:hint="eastAsia"/>
          <w:lang w:val="en-US" w:eastAsia="zh-CN"/>
        </w:rPr>
        <w:t>节能管理有待精细化。尚未建立全社会覆盖的重点用能单位管理库，已建设能源网络管理平台及在线监测系统功能不全面，节能审查暂未实现全流程闭环管理。</w:t>
      </w:r>
      <w:r>
        <w:rPr>
          <w:rFonts w:hint="eastAsia"/>
          <w:b/>
          <w:bCs/>
          <w:lang w:val="en-US" w:eastAsia="zh-CN"/>
        </w:rPr>
        <w:t>三是</w:t>
      </w:r>
      <w:r>
        <w:rPr>
          <w:rFonts w:hint="eastAsia"/>
          <w:lang w:val="en-US" w:eastAsia="zh-CN"/>
        </w:rPr>
        <w:t>重点用能企业节能内在动力不足。忽视节能基础管理工作，建设能源管理信息平台意识薄弱，能源消耗基础数据空白，节能管理机制不健全。</w:t>
      </w:r>
    </w:p>
    <w:p>
      <w:pPr>
        <w:pStyle w:val="22"/>
        <w:bidi w:val="0"/>
        <w:rPr>
          <w:rFonts w:hint="eastAsia" w:ascii="Times New Roman" w:hAnsi="Times New Roman" w:eastAsia="文星仿宋" w:cs="Times New Roman"/>
          <w:b/>
          <w:bCs/>
          <w:spacing w:val="-6"/>
          <w:sz w:val="32"/>
          <w:szCs w:val="32"/>
          <w:lang w:val="en-US" w:eastAsia="zh-CN"/>
        </w:rPr>
      </w:pPr>
      <w:r>
        <w:rPr>
          <w:rFonts w:hint="eastAsia" w:ascii="楷体" w:hAnsi="楷体" w:eastAsia="楷体" w:cs="楷体"/>
          <w:bCs/>
          <w:sz w:val="32"/>
          <w:szCs w:val="32"/>
          <w:lang w:val="en-US" w:eastAsia="zh-CN"/>
        </w:rPr>
        <w:t>（三）面临形势。</w:t>
      </w:r>
      <w:r>
        <w:rPr>
          <w:rFonts w:hint="eastAsia"/>
          <w:lang w:eastAsia="zh-CN"/>
        </w:rPr>
        <w:t>“十四五”时期是梅州市由全面建成小康社会向基本实现社会主义现代化迈进的关键时期，是加快生态文明体制改革、建设美丽中国的重要时期，清洁低碳转型将加速演进，经济社会将迎来全面低碳变革。梅州市节能工作面临重大战略机遇，</w:t>
      </w:r>
      <w:r>
        <w:rPr>
          <w:rFonts w:hint="eastAsia"/>
          <w:b/>
          <w:bCs/>
          <w:lang w:val="en-US" w:eastAsia="zh-CN"/>
        </w:rPr>
        <w:t>碳达峰目标为绿色发展与节能工作提供强大动力，积极融入粤港澳大湾区发展为节能工作创造有利条件，污染防治成效为节能工作提供先导经验。</w:t>
      </w:r>
      <w:r>
        <w:rPr>
          <w:rFonts w:hint="eastAsia"/>
          <w:lang w:val="en-US" w:eastAsia="zh-CN"/>
        </w:rPr>
        <w:t>同时，梅州市经济社会发展资源环境瓶颈制约因素日益突出，节能减排潜力不断下降，</w:t>
      </w:r>
      <w:r>
        <w:rPr>
          <w:rFonts w:hint="eastAsia"/>
          <w:b/>
          <w:bCs/>
          <w:lang w:val="en-US" w:eastAsia="zh-CN"/>
        </w:rPr>
        <w:t>结构性矛盾导致能耗强度有增加趋势，“双控”指标完成难度高；高耗能行业能源消费量占比高，节能压力大；节能空间不断收窄，工作难度大。</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ascii="黑体" w:hAnsi="黑体" w:eastAsia="黑体" w:cs="黑体"/>
          <w:spacing w:val="-6"/>
          <w:sz w:val="32"/>
          <w:szCs w:val="32"/>
        </w:rPr>
      </w:pPr>
      <w:bookmarkStart w:id="2" w:name="_Toc3621"/>
      <w:bookmarkStart w:id="3" w:name="_Toc16743"/>
      <w:bookmarkStart w:id="4" w:name="_Toc19670"/>
      <w:bookmarkStart w:id="5" w:name="_Toc14580"/>
      <w:bookmarkStart w:id="6" w:name="_Toc18307"/>
      <w:bookmarkStart w:id="7" w:name="_Toc7696"/>
      <w:r>
        <w:rPr>
          <w:rFonts w:hint="eastAsia" w:ascii="黑体" w:hAnsi="黑体" w:eastAsia="黑体" w:cs="黑体"/>
          <w:spacing w:val="-6"/>
          <w:sz w:val="32"/>
          <w:szCs w:val="32"/>
        </w:rPr>
        <w:t>第二章</w:t>
      </w:r>
      <w:bookmarkEnd w:id="2"/>
      <w:bookmarkEnd w:id="3"/>
      <w:bookmarkEnd w:id="4"/>
      <w:bookmarkEnd w:id="5"/>
      <w:bookmarkEnd w:id="6"/>
      <w:r>
        <w:rPr>
          <w:rFonts w:hint="default" w:ascii="黑体" w:hAnsi="黑体" w:eastAsia="黑体" w:cs="黑体"/>
          <w:spacing w:val="-6"/>
          <w:sz w:val="32"/>
          <w:szCs w:val="32"/>
          <w:lang w:val="en-US"/>
        </w:rPr>
        <w:t xml:space="preserve">  </w:t>
      </w:r>
      <w:bookmarkEnd w:id="7"/>
      <w:r>
        <w:rPr>
          <w:rFonts w:hint="eastAsia" w:ascii="黑体" w:hAnsi="黑体" w:eastAsia="黑体" w:cs="黑体"/>
          <w:spacing w:val="-6"/>
          <w:sz w:val="32"/>
          <w:szCs w:val="32"/>
        </w:rPr>
        <w:t>总体要求和发展目标</w:t>
      </w:r>
    </w:p>
    <w:p>
      <w:pPr>
        <w:pStyle w:val="22"/>
        <w:bidi w:val="0"/>
      </w:pPr>
      <w:bookmarkStart w:id="8" w:name="_Toc15080"/>
      <w:bookmarkStart w:id="9" w:name="_Toc27308"/>
      <w:bookmarkStart w:id="10" w:name="_Toc2468"/>
      <w:bookmarkStart w:id="11" w:name="_Toc30952"/>
      <w:bookmarkStart w:id="12" w:name="_Toc3794"/>
      <w:bookmarkStart w:id="13" w:name="_Toc8864"/>
      <w:r>
        <w:rPr>
          <w:rFonts w:hint="eastAsia" w:ascii="楷体" w:hAnsi="楷体" w:eastAsia="楷体" w:cs="楷体"/>
          <w:sz w:val="32"/>
          <w:szCs w:val="20"/>
        </w:rPr>
        <w:t>（一）指导思想</w:t>
      </w:r>
      <w:bookmarkEnd w:id="8"/>
      <w:bookmarkEnd w:id="9"/>
      <w:bookmarkEnd w:id="10"/>
      <w:bookmarkEnd w:id="11"/>
      <w:bookmarkEnd w:id="12"/>
      <w:bookmarkEnd w:id="13"/>
      <w:r>
        <w:rPr>
          <w:rFonts w:hint="eastAsia" w:ascii="楷体" w:hAnsi="楷体" w:eastAsia="楷体" w:cs="楷体"/>
          <w:sz w:val="32"/>
          <w:szCs w:val="20"/>
        </w:rPr>
        <w:t>。</w:t>
      </w:r>
      <w:r>
        <w:rPr>
          <w:rFonts w:hint="eastAsia"/>
        </w:rPr>
        <w:t>高举中国特色社会主义伟大旗帜，全面贯彻落实党的十九大和十九届二中、三中、四中、五中全会精神，深入贯彻习近平总书记系列重要讲话精神，统筹推进经济建设、政治建设、文化建设、社会建设、生态文明建设的总体布局，协调推进全面建设社会主义现代化国家、全面深化改革、全面依法治国、全面从严治党的战略布局，坚定不移贯彻创新、协调、绿色、开放、共享的新发展理念，落实“四个革命、一个合作”战略思想。抓住新常态下我国进入能源领域供给侧改革深水区的战略机遇，以推动高质量发展为主题，以二氧化碳排放达峰目标与碳中和愿景为牵引，坚持系统观念，推进以绿色低碳为导向的节能工作，推动能源发展转型升级。</w:t>
      </w:r>
    </w:p>
    <w:p>
      <w:pPr>
        <w:pStyle w:val="22"/>
        <w:bidi w:val="0"/>
        <w:rPr>
          <w:rFonts w:ascii="Times New Roman" w:hAnsi="Times New Roman" w:eastAsia="文星仿宋" w:cs="Times New Roman"/>
          <w:sz w:val="32"/>
          <w:szCs w:val="32"/>
        </w:rPr>
      </w:pPr>
      <w:bookmarkStart w:id="14" w:name="_Toc16856"/>
      <w:bookmarkStart w:id="15" w:name="_Toc25006"/>
      <w:bookmarkStart w:id="16" w:name="_Toc13319"/>
      <w:bookmarkStart w:id="17" w:name="_Toc31722"/>
      <w:bookmarkStart w:id="18" w:name="_Toc2032"/>
      <w:bookmarkStart w:id="19" w:name="_Toc30855"/>
      <w:r>
        <w:rPr>
          <w:rFonts w:hint="eastAsia" w:ascii="楷体" w:hAnsi="楷体" w:eastAsia="楷体" w:cs="楷体"/>
          <w:sz w:val="32"/>
          <w:szCs w:val="20"/>
        </w:rPr>
        <w:t>（二）基本原则</w:t>
      </w:r>
      <w:bookmarkEnd w:id="14"/>
      <w:bookmarkEnd w:id="15"/>
      <w:bookmarkEnd w:id="16"/>
      <w:bookmarkEnd w:id="17"/>
      <w:bookmarkEnd w:id="18"/>
      <w:bookmarkEnd w:id="19"/>
      <w:r>
        <w:rPr>
          <w:rFonts w:hint="eastAsia" w:ascii="楷体" w:hAnsi="楷体" w:eastAsia="楷体" w:cs="楷体"/>
          <w:sz w:val="32"/>
          <w:szCs w:val="20"/>
        </w:rPr>
        <w:t>。</w:t>
      </w:r>
      <w:r>
        <w:t>坚持</w:t>
      </w:r>
      <w:r>
        <w:rPr>
          <w:rFonts w:hint="eastAsia"/>
        </w:rPr>
        <w:t>政府引导</w:t>
      </w:r>
      <w:r>
        <w:rPr>
          <w:rFonts w:hint="eastAsia"/>
          <w:lang w:eastAsia="zh-CN"/>
        </w:rPr>
        <w:t>、</w:t>
      </w:r>
      <w:r>
        <w:rPr>
          <w:rFonts w:hint="eastAsia"/>
        </w:rPr>
        <w:t>市场推动</w:t>
      </w:r>
      <w:r>
        <w:rPr>
          <w:rFonts w:hint="eastAsia"/>
          <w:lang w:eastAsia="zh-CN"/>
        </w:rPr>
        <w:t>，</w:t>
      </w:r>
      <w:r>
        <w:t>坚持</w:t>
      </w:r>
      <w:r>
        <w:rPr>
          <w:rFonts w:hint="eastAsia"/>
        </w:rPr>
        <w:t>优化结构</w:t>
      </w:r>
      <w:r>
        <w:rPr>
          <w:rFonts w:hint="eastAsia"/>
          <w:lang w:eastAsia="zh-CN"/>
        </w:rPr>
        <w:t>、</w:t>
      </w:r>
      <w:r>
        <w:rPr>
          <w:rFonts w:hint="eastAsia"/>
        </w:rPr>
        <w:t>绿色发展</w:t>
      </w:r>
      <w:r>
        <w:rPr>
          <w:rFonts w:hint="eastAsia"/>
          <w:lang w:eastAsia="zh-CN"/>
        </w:rPr>
        <w:t>，</w:t>
      </w:r>
      <w:r>
        <w:t>坚持</w:t>
      </w:r>
      <w:r>
        <w:rPr>
          <w:rFonts w:hint="eastAsia"/>
        </w:rPr>
        <w:t>科技引领</w:t>
      </w:r>
      <w:r>
        <w:rPr>
          <w:rFonts w:hint="eastAsia"/>
          <w:lang w:eastAsia="zh-CN"/>
        </w:rPr>
        <w:t>、</w:t>
      </w:r>
      <w:r>
        <w:rPr>
          <w:rFonts w:hint="eastAsia"/>
        </w:rPr>
        <w:t>创新发展</w:t>
      </w:r>
      <w:r>
        <w:rPr>
          <w:rFonts w:hint="eastAsia"/>
          <w:lang w:eastAsia="zh-CN"/>
        </w:rPr>
        <w:t>，</w:t>
      </w:r>
      <w:r>
        <w:t>坚持</w:t>
      </w:r>
      <w:r>
        <w:rPr>
          <w:rFonts w:hint="eastAsia"/>
        </w:rPr>
        <w:t>突出重点</w:t>
      </w:r>
      <w:r>
        <w:rPr>
          <w:rFonts w:hint="eastAsia"/>
          <w:lang w:eastAsia="zh-CN"/>
        </w:rPr>
        <w:t>、</w:t>
      </w:r>
      <w:r>
        <w:rPr>
          <w:rFonts w:hint="eastAsia"/>
        </w:rPr>
        <w:t>全面推进。</w:t>
      </w:r>
    </w:p>
    <w:p>
      <w:pPr>
        <w:pStyle w:val="22"/>
        <w:bidi w:val="0"/>
        <w:rPr>
          <w:rFonts w:hint="eastAsia"/>
          <w:lang w:val="en-US" w:eastAsia="zh-CN"/>
        </w:rPr>
      </w:pPr>
      <w:bookmarkStart w:id="20" w:name="_Toc5887"/>
      <w:r>
        <w:rPr>
          <w:rFonts w:hint="eastAsia" w:ascii="楷体" w:hAnsi="楷体" w:eastAsia="楷体" w:cs="楷体"/>
        </w:rPr>
        <w:t>（三）“十四五”时期</w:t>
      </w:r>
      <w:r>
        <w:rPr>
          <w:rFonts w:hint="eastAsia" w:ascii="楷体" w:hAnsi="楷体" w:eastAsia="楷体" w:cs="楷体"/>
          <w:lang w:val="en-US" w:eastAsia="zh-CN"/>
        </w:rPr>
        <w:t>节能</w:t>
      </w:r>
      <w:r>
        <w:rPr>
          <w:rFonts w:hint="eastAsia" w:ascii="楷体" w:hAnsi="楷体" w:eastAsia="楷体" w:cs="楷体"/>
        </w:rPr>
        <w:t>目标</w:t>
      </w:r>
      <w:bookmarkEnd w:id="20"/>
      <w:r>
        <w:rPr>
          <w:rFonts w:hint="eastAsia" w:ascii="楷体" w:hAnsi="楷体" w:eastAsia="楷体" w:cs="楷体"/>
        </w:rPr>
        <w:t>。</w:t>
      </w:r>
      <w:r>
        <w:rPr>
          <w:rFonts w:hint="eastAsia"/>
        </w:rPr>
        <w:t>统筹兼顾梅州市经济社会发展和能源利用水平的地区差异，建立以政府引导、企业主导、市场驱动、社会参与的能源消费总量控制工作机制，</w:t>
      </w:r>
      <w:r>
        <w:rPr>
          <w:rFonts w:hint="eastAsia"/>
          <w:lang w:eastAsia="zh-CN"/>
        </w:rPr>
        <w:t>进一步降低单位GDP能耗，合理控制能源消费总量，有效控制二氧化碳排放，实现碳达峰目标，持续推动梅州市能源发展转型升级。</w:t>
      </w:r>
      <w:r>
        <w:rPr>
          <w:rFonts w:hint="eastAsia"/>
          <w:b/>
          <w:bCs/>
          <w:lang w:val="en-US" w:eastAsia="zh-CN"/>
        </w:rPr>
        <w:t>一是</w:t>
      </w:r>
      <w:r>
        <w:rPr>
          <w:rFonts w:hint="eastAsia"/>
          <w:b/>
          <w:bCs/>
          <w:lang w:eastAsia="zh-CN"/>
        </w:rPr>
        <w:t>降低煤炭消费占比</w:t>
      </w:r>
      <w:r>
        <w:rPr>
          <w:rFonts w:hint="eastAsia"/>
          <w:lang w:eastAsia="zh-CN"/>
        </w:rPr>
        <w:t>，提高天然气及清洁能源利用比例，推动工业园区集中供热项目建设。</w:t>
      </w:r>
      <w:r>
        <w:rPr>
          <w:rFonts w:hint="eastAsia"/>
          <w:b/>
          <w:bCs/>
          <w:lang w:val="en-US" w:eastAsia="zh-CN"/>
        </w:rPr>
        <w:t>二是提升重点领域节能降碳水平</w:t>
      </w:r>
      <w:r>
        <w:rPr>
          <w:rFonts w:hint="eastAsia"/>
          <w:lang w:val="en-US" w:eastAsia="zh-CN"/>
        </w:rPr>
        <w:t>，工业领域抓好重点用能企业节能监管；交通领域推动新能源车辆推广应用和基础设施改造建设；建筑领域实现政府投资项目、大型公共建筑项目、保障性住房项目绿色建筑标准执行率100%；公共机构领域推动公共机构进行节能改造。</w:t>
      </w:r>
      <w:r>
        <w:rPr>
          <w:rFonts w:hint="eastAsia"/>
          <w:b/>
          <w:bCs/>
          <w:lang w:val="en-US" w:eastAsia="zh-CN"/>
        </w:rPr>
        <w:t>三是强化节能管理</w:t>
      </w:r>
      <w:r>
        <w:rPr>
          <w:rFonts w:hint="eastAsia"/>
          <w:lang w:val="en-US" w:eastAsia="zh-CN"/>
        </w:rPr>
        <w:t>，健全节能审查制度，加强重点用能单位管理，改进能管平台及在线监测系统，设立长效性节能工作扶持资金。</w:t>
      </w:r>
    </w:p>
    <w:p>
      <w:pPr>
        <w:rPr>
          <w:rFonts w:hint="eastAsia"/>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ascii="黑体" w:hAnsi="黑体" w:eastAsia="黑体" w:cs="黑体"/>
          <w:spacing w:val="-6"/>
          <w:sz w:val="32"/>
          <w:szCs w:val="32"/>
        </w:rPr>
      </w:pPr>
      <w:bookmarkStart w:id="21" w:name="_Toc14908"/>
      <w:r>
        <w:rPr>
          <w:rFonts w:hint="eastAsia" w:ascii="黑体" w:hAnsi="黑体" w:eastAsia="黑体" w:cs="黑体"/>
          <w:spacing w:val="-6"/>
          <w:sz w:val="32"/>
          <w:szCs w:val="32"/>
        </w:rPr>
        <w:t xml:space="preserve">第三章  </w:t>
      </w:r>
      <w:bookmarkEnd w:id="21"/>
      <w:r>
        <w:rPr>
          <w:rFonts w:hint="eastAsia" w:ascii="黑体" w:hAnsi="黑体" w:eastAsia="黑体" w:cs="黑体"/>
          <w:spacing w:val="-6"/>
          <w:sz w:val="32"/>
          <w:szCs w:val="32"/>
        </w:rPr>
        <w:t>“十四五”节能主要任务</w:t>
      </w:r>
    </w:p>
    <w:p>
      <w:pPr>
        <w:pStyle w:val="22"/>
        <w:bidi w:val="0"/>
        <w:rPr>
          <w:rFonts w:hint="eastAsia"/>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一）严格实施碳排放与能源管控。</w:t>
      </w:r>
      <w:r>
        <w:rPr>
          <w:rFonts w:hint="eastAsia"/>
          <w:lang w:val="en-US" w:eastAsia="zh-CN"/>
        </w:rPr>
        <w:t>认真落实碳达峰工作，推动水泥、钢铁、建材、有色、化工、石化、电力、煤炭等重点行业提出明确的达峰目标并制定达峰行动方案；强化能源强度和总量双控制，落实重点用能单位“百千万”行动计划。</w:t>
      </w:r>
    </w:p>
    <w:p>
      <w:pPr>
        <w:pStyle w:val="22"/>
        <w:bidi w:val="0"/>
        <w:rPr>
          <w:rFonts w:hint="default" w:eastAsia="文星仿宋" w:cs="Times New Roman"/>
          <w:sz w:val="32"/>
          <w:szCs w:val="32"/>
          <w:lang w:val="en-US" w:eastAsia="zh-CN"/>
        </w:rPr>
      </w:pPr>
      <w:r>
        <w:rPr>
          <w:rFonts w:hint="eastAsia" w:ascii="楷体" w:hAnsi="楷体" w:eastAsia="楷体" w:cs="楷体"/>
          <w:sz w:val="32"/>
          <w:szCs w:val="32"/>
          <w:lang w:val="en-US" w:eastAsia="zh-CN"/>
        </w:rPr>
        <w:t>（二）优化产业结构，淘汰落后产能。</w:t>
      </w:r>
      <w:r>
        <w:rPr>
          <w:rStyle w:val="23"/>
          <w:rFonts w:hint="eastAsia"/>
          <w:lang w:val="en-US" w:eastAsia="zh-CN"/>
        </w:rPr>
        <w:t>产业结构转型升级，强化节能环保标准约束，支持新一代先进制造业、战略性新兴产业、高端服务业发展；坚持淘汰重点耗能行业落后产能，进一步落实差别电价、阶梯电价和惩罚性电价。</w:t>
      </w:r>
    </w:p>
    <w:p>
      <w:pPr>
        <w:pStyle w:val="22"/>
        <w:bidi w:val="0"/>
        <w:rPr>
          <w:rFonts w:hint="default" w:eastAsia="文星仿宋" w:cs="Times New Roman"/>
          <w:sz w:val="32"/>
          <w:szCs w:val="32"/>
          <w:lang w:val="en-US" w:eastAsia="zh-CN"/>
        </w:rPr>
      </w:pPr>
      <w:r>
        <w:rPr>
          <w:rFonts w:hint="eastAsia" w:ascii="楷体" w:hAnsi="楷体" w:eastAsia="楷体" w:cs="楷体"/>
          <w:sz w:val="32"/>
          <w:szCs w:val="32"/>
          <w:lang w:val="en-US" w:eastAsia="zh-CN"/>
        </w:rPr>
        <w:t>（三）优化能源结构，控制煤炭消费。</w:t>
      </w:r>
      <w:r>
        <w:rPr>
          <w:rStyle w:val="23"/>
          <w:rFonts w:hint="eastAsia"/>
          <w:lang w:val="en-US" w:eastAsia="zh-CN"/>
        </w:rPr>
        <w:t>严格控制煤炭消费，积极推动煤炭的清洁利用，推进煤改气、煤改电。加大天然气使用力度，提高清洁能源使用比例。在落实项目用地、用林、环境影响评价等前提下，有序推进水电、光伏发电、风电、生物质发电等新能源利用方式。建设绿色交通示范工程，探索梅州山区特色的绿色施工模式。</w:t>
      </w:r>
    </w:p>
    <w:p>
      <w:pPr>
        <w:pStyle w:val="22"/>
        <w:bidi w:val="0"/>
        <w:rPr>
          <w:rFonts w:hint="default"/>
          <w:lang w:val="en-US" w:eastAsia="zh-CN"/>
        </w:rPr>
      </w:pPr>
      <w:r>
        <w:rPr>
          <w:rFonts w:hint="eastAsia" w:ascii="楷体" w:hAnsi="楷体" w:eastAsia="楷体" w:cs="楷体"/>
          <w:sz w:val="32"/>
          <w:szCs w:val="32"/>
          <w:lang w:val="en-US" w:eastAsia="zh-CN"/>
        </w:rPr>
        <w:t>（四）全面提升重点领域能效水平。</w:t>
      </w:r>
      <w:r>
        <w:rPr>
          <w:rFonts w:hint="eastAsia"/>
          <w:b/>
          <w:bCs/>
          <w:lang w:val="en-US" w:eastAsia="zh-CN"/>
        </w:rPr>
        <w:t>一是</w:t>
      </w:r>
      <w:r>
        <w:rPr>
          <w:rFonts w:hint="eastAsia"/>
          <w:lang w:val="en-US" w:eastAsia="zh-CN"/>
        </w:rPr>
        <w:t>工业领域加强工业节能标准引导，推广清</w:t>
      </w:r>
      <w:bookmarkStart w:id="29" w:name="_GoBack"/>
      <w:bookmarkEnd w:id="29"/>
      <w:r>
        <w:rPr>
          <w:rFonts w:hint="eastAsia"/>
          <w:lang w:val="en-US" w:eastAsia="zh-CN"/>
        </w:rPr>
        <w:t>洁生产先进技术，完善绿色制造体系，鼓励建立综合能源服务企业；</w:t>
      </w:r>
      <w:r>
        <w:rPr>
          <w:rFonts w:hint="eastAsia"/>
          <w:b/>
          <w:bCs/>
          <w:lang w:val="en-US" w:eastAsia="zh-CN"/>
        </w:rPr>
        <w:t>二是</w:t>
      </w:r>
      <w:r>
        <w:rPr>
          <w:rFonts w:hint="eastAsia"/>
          <w:lang w:val="en-US" w:eastAsia="zh-CN"/>
        </w:rPr>
        <w:t>建筑领域大力推广装配式建筑和绿色建筑，加强城市节约用电管理，建立健全建筑节能法律法规和标准评价体系；</w:t>
      </w:r>
      <w:r>
        <w:rPr>
          <w:rFonts w:hint="eastAsia"/>
          <w:b/>
          <w:bCs/>
          <w:lang w:val="en-US" w:eastAsia="zh-CN"/>
        </w:rPr>
        <w:t>三是</w:t>
      </w:r>
      <w:r>
        <w:rPr>
          <w:rFonts w:hint="eastAsia"/>
          <w:lang w:val="en-US" w:eastAsia="zh-CN"/>
        </w:rPr>
        <w:t>交通领域促进新能源汽车的示范推广应用，加快推进充电基础设施建设，优化自行车出行环境；</w:t>
      </w:r>
      <w:r>
        <w:rPr>
          <w:rFonts w:hint="eastAsia"/>
          <w:b/>
          <w:bCs/>
          <w:lang w:val="en-US" w:eastAsia="zh-CN"/>
        </w:rPr>
        <w:t>四是</w:t>
      </w:r>
      <w:r>
        <w:rPr>
          <w:rFonts w:hint="eastAsia"/>
          <w:lang w:val="en-US" w:eastAsia="zh-CN"/>
        </w:rPr>
        <w:t>公共机构领域推动节约型机关创建，积极推进公共机构能源审计工作，推动省级公共机构加快完成节水型单位建设任务；</w:t>
      </w:r>
      <w:r>
        <w:rPr>
          <w:rFonts w:hint="eastAsia"/>
          <w:b/>
          <w:bCs/>
          <w:lang w:val="en-US" w:eastAsia="zh-CN"/>
        </w:rPr>
        <w:t>五是</w:t>
      </w:r>
      <w:r>
        <w:rPr>
          <w:rFonts w:hint="eastAsia"/>
          <w:lang w:val="en-US" w:eastAsia="zh-CN"/>
        </w:rPr>
        <w:t>商业与民用领域加强节能管理、推广应用高效节能产品、加强节能宣传；</w:t>
      </w:r>
      <w:r>
        <w:rPr>
          <w:rFonts w:hint="eastAsia"/>
          <w:b/>
          <w:bCs/>
          <w:lang w:val="en-US" w:eastAsia="zh-CN"/>
        </w:rPr>
        <w:t>六是</w:t>
      </w:r>
      <w:r>
        <w:rPr>
          <w:rFonts w:hint="eastAsia"/>
          <w:lang w:val="en-US" w:eastAsia="zh-CN"/>
        </w:rPr>
        <w:t>农业农村领域推广农村可再生能源应用、节约型农村技术和产品、废弃物资源化利用。</w:t>
      </w:r>
    </w:p>
    <w:p>
      <w:pPr>
        <w:pStyle w:val="22"/>
        <w:bidi w:val="0"/>
        <w:rPr>
          <w:rFonts w:hint="eastAsia" w:eastAsia="文星仿宋" w:cs="Times New Roman"/>
          <w:sz w:val="32"/>
          <w:szCs w:val="32"/>
          <w:lang w:val="en-US" w:eastAsia="zh-CN"/>
        </w:rPr>
      </w:pPr>
      <w:r>
        <w:rPr>
          <w:rFonts w:hint="eastAsia" w:ascii="楷体" w:hAnsi="楷体" w:eastAsia="楷体" w:cs="楷体"/>
          <w:sz w:val="32"/>
          <w:szCs w:val="32"/>
          <w:lang w:val="en-US" w:eastAsia="zh-CN"/>
        </w:rPr>
        <w:t>（五）强化节能管理信息化水平。</w:t>
      </w:r>
      <w:r>
        <w:rPr>
          <w:rFonts w:hint="eastAsia"/>
          <w:lang w:val="en-US" w:eastAsia="zh-CN"/>
        </w:rPr>
        <w:t>改进市级能管平台及在线监测系统，基于市级能管平台扩大能耗在线监测范围，推动重点用能单位能耗在线监测系统建设。</w:t>
      </w:r>
    </w:p>
    <w:p>
      <w:pPr>
        <w:pStyle w:val="22"/>
        <w:bidi w:val="0"/>
        <w:rPr>
          <w:rFonts w:hint="eastAsia"/>
          <w:lang w:val="en-US" w:eastAsia="zh-CN"/>
        </w:rPr>
      </w:pPr>
      <w:r>
        <w:rPr>
          <w:rFonts w:hint="eastAsia" w:ascii="楷体" w:hAnsi="楷体" w:eastAsia="楷体" w:cs="楷体"/>
          <w:lang w:val="en-US" w:eastAsia="zh-CN"/>
        </w:rPr>
        <w:t>（六）加强绿色金融和市场化建设。</w:t>
      </w:r>
      <w:r>
        <w:rPr>
          <w:rFonts w:hint="eastAsia"/>
          <w:lang w:val="en-US" w:eastAsia="zh-CN"/>
        </w:rPr>
        <w:t>推进绿色金融改革创新，加快推进绿色项目库建设；加大绿色小额信贷、绿色融资担保、绿色融资租凭绿色商业保理等绿色金融业务的创新力度。</w:t>
      </w:r>
    </w:p>
    <w:p>
      <w:pPr>
        <w:pStyle w:val="22"/>
        <w:bidi w:val="0"/>
        <w:rPr>
          <w:rFonts w:hint="default" w:eastAsia="文星仿宋" w:cs="Times New Roman"/>
          <w:sz w:val="32"/>
          <w:szCs w:val="32"/>
          <w:lang w:val="en-US" w:eastAsia="zh-CN"/>
        </w:rPr>
      </w:pPr>
      <w:r>
        <w:rPr>
          <w:rFonts w:hint="eastAsia" w:ascii="楷体" w:hAnsi="楷体" w:eastAsia="楷体" w:cs="楷体"/>
          <w:sz w:val="32"/>
          <w:szCs w:val="32"/>
          <w:lang w:val="en-US" w:eastAsia="zh-CN"/>
        </w:rPr>
        <w:t>（七）落实重点节能工程。</w:t>
      </w:r>
      <w:r>
        <w:rPr>
          <w:rFonts w:hint="eastAsia"/>
          <w:lang w:val="en-US" w:eastAsia="zh-CN"/>
        </w:rPr>
        <w:t>大力推进梅州市大埔电厂二期项目、工业园区集中供热项目、煤炭高效清洁利用工程、污染防治和绿色清洁生产工程、交通运输结构优化和新能源设施建设工程、绿色交通示范工程等梅州市重点节能工程项目。</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ascii="黑体" w:hAnsi="黑体" w:eastAsia="黑体" w:cs="黑体"/>
          <w:spacing w:val="-6"/>
          <w:sz w:val="32"/>
          <w:szCs w:val="32"/>
        </w:rPr>
      </w:pPr>
      <w:bookmarkStart w:id="22" w:name="_Toc11192"/>
      <w:bookmarkStart w:id="23" w:name="_Hlk46528881"/>
      <w:bookmarkStart w:id="24" w:name="_Toc1480"/>
      <w:bookmarkStart w:id="25" w:name="_Toc6974"/>
      <w:bookmarkStart w:id="26" w:name="_Toc4593"/>
      <w:bookmarkStart w:id="27" w:name="_Toc10518"/>
      <w:bookmarkStart w:id="28" w:name="_Toc29484"/>
      <w:r>
        <w:rPr>
          <w:rFonts w:hint="eastAsia" w:ascii="黑体" w:hAnsi="黑体" w:eastAsia="黑体" w:cs="黑体"/>
          <w:spacing w:val="-6"/>
          <w:sz w:val="32"/>
          <w:szCs w:val="32"/>
        </w:rPr>
        <w:t>第</w:t>
      </w:r>
      <w:r>
        <w:rPr>
          <w:rFonts w:hint="eastAsia" w:ascii="黑体" w:hAnsi="黑体" w:eastAsia="黑体" w:cs="黑体"/>
          <w:spacing w:val="-6"/>
          <w:sz w:val="32"/>
          <w:szCs w:val="32"/>
          <w:lang w:val="en-US" w:eastAsia="zh-CN"/>
        </w:rPr>
        <w:t>四</w:t>
      </w:r>
      <w:r>
        <w:rPr>
          <w:rFonts w:hint="eastAsia" w:ascii="黑体" w:hAnsi="黑体" w:eastAsia="黑体" w:cs="黑体"/>
          <w:spacing w:val="-6"/>
          <w:sz w:val="32"/>
          <w:szCs w:val="32"/>
        </w:rPr>
        <w:t xml:space="preserve">章  </w:t>
      </w:r>
      <w:bookmarkEnd w:id="22"/>
      <w:r>
        <w:rPr>
          <w:rFonts w:hint="eastAsia" w:ascii="黑体" w:hAnsi="黑体" w:eastAsia="黑体" w:cs="黑体"/>
          <w:spacing w:val="-6"/>
          <w:sz w:val="32"/>
          <w:szCs w:val="32"/>
        </w:rPr>
        <w:t>节能保障措施</w:t>
      </w:r>
    </w:p>
    <w:p>
      <w:pPr>
        <w:pStyle w:val="22"/>
        <w:bidi w:val="0"/>
      </w:pPr>
      <w:r>
        <w:rPr>
          <w:rFonts w:hint="eastAsia"/>
          <w:b/>
          <w:bCs/>
        </w:rPr>
        <w:t>强化规划实施机制</w:t>
      </w:r>
      <w:r>
        <w:rPr>
          <w:rFonts w:hint="eastAsia"/>
          <w:lang w:eastAsia="zh-CN"/>
        </w:rPr>
        <w:t>，提高规划的全局性、前瞻性和可操作性，增强节能规划的引导约束作用；</w:t>
      </w:r>
      <w:r>
        <w:rPr>
          <w:rFonts w:hint="eastAsia"/>
          <w:b/>
          <w:bCs/>
          <w:lang w:eastAsia="zh-CN"/>
        </w:rPr>
        <w:t>健全节能审查制度</w:t>
      </w:r>
      <w:r>
        <w:rPr>
          <w:rFonts w:hint="eastAsia"/>
          <w:lang w:eastAsia="zh-CN"/>
        </w:rPr>
        <w:t>，落实节能审查闭环管理要求，建立目标考核和责任追究制度；</w:t>
      </w:r>
      <w:r>
        <w:rPr>
          <w:rFonts w:hint="eastAsia"/>
          <w:b/>
          <w:bCs/>
          <w:lang w:eastAsia="zh-CN"/>
        </w:rPr>
        <w:t>加大节能政策扶持力度</w:t>
      </w:r>
      <w:r>
        <w:rPr>
          <w:rFonts w:hint="eastAsia"/>
          <w:lang w:eastAsia="zh-CN"/>
        </w:rPr>
        <w:t>，</w:t>
      </w:r>
      <w:r>
        <w:rPr>
          <w:rFonts w:hint="eastAsia"/>
          <w:lang w:val="en-US" w:eastAsia="zh-CN"/>
        </w:rPr>
        <w:t>统筹</w:t>
      </w:r>
      <w:r>
        <w:rPr>
          <w:rFonts w:hint="eastAsia"/>
          <w:lang w:eastAsia="zh-CN"/>
        </w:rPr>
        <w:t>财政、税收、土地等方面对节能发展的支持力度；</w:t>
      </w:r>
      <w:r>
        <w:rPr>
          <w:rFonts w:hint="eastAsia"/>
          <w:b/>
          <w:bCs/>
          <w:lang w:eastAsia="zh-CN"/>
        </w:rPr>
        <w:t>加强节能监察监管工作</w:t>
      </w:r>
      <w:r>
        <w:rPr>
          <w:rFonts w:hint="eastAsia"/>
          <w:lang w:eastAsia="zh-CN"/>
        </w:rPr>
        <w:t>，严格监管重点用能单位的单位产品能耗水平和能耗限额标准执行情况。</w:t>
      </w:r>
      <w:bookmarkEnd w:id="23"/>
      <w:bookmarkEnd w:id="24"/>
      <w:bookmarkEnd w:id="25"/>
      <w:bookmarkEnd w:id="26"/>
      <w:bookmarkEnd w:id="27"/>
      <w:bookmarkEnd w:id="28"/>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黑体">
    <w:altName w:val="黑体"/>
    <w:panose1 w:val="00000000000000000000"/>
    <w:charset w:val="86"/>
    <w:family w:val="modern"/>
    <w:pitch w:val="default"/>
    <w:sig w:usb0="00000000" w:usb1="00000000" w:usb2="00000000" w:usb3="00000000" w:csb0="00040000" w:csb1="00000000"/>
  </w:font>
  <w:font w:name="文星标宋">
    <w:altName w:val="微软雅黑"/>
    <w:panose1 w:val="00000000000000000000"/>
    <w:charset w:val="86"/>
    <w:family w:val="modern"/>
    <w:pitch w:val="default"/>
    <w:sig w:usb0="00000000" w:usb1="00000000" w:usb2="00000000" w:usb3="00000000" w:csb0="00040000" w:csb1="00000000"/>
  </w:font>
  <w:font w:name="文星仿宋">
    <w:altName w:val="仿宋"/>
    <w:panose1 w:val="00000000000000000000"/>
    <w:charset w:val="86"/>
    <w:family w:val="auto"/>
    <w:pitch w:val="default"/>
    <w:sig w:usb0="00000000" w:usb1="00000000" w:usb2="00000000" w:usb3="00000000" w:csb0="00040000" w:csb1="00000000"/>
  </w:font>
  <w:font w:name="文星楷体">
    <w:altName w:val="宋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文星楷体">
    <w:altName w:val="宋体"/>
    <w:panose1 w:val="00000000000000000000"/>
    <w:charset w:val="00"/>
    <w:family w:val="auto"/>
    <w:pitch w:val="default"/>
    <w:sig w:usb0="00000000" w:usb1="00000000" w:usb2="00000000" w:usb3="00000000" w:csb0="00000000" w:csb1="00000000"/>
  </w:font>
  <w:font w:name="文星仿宋">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3234174"/>
    </w:sdtPr>
    <w:sdtContent>
      <w:p>
        <w:pPr>
          <w:pStyle w:val="4"/>
          <w:jc w:val="center"/>
        </w:pPr>
        <w:r>
          <w:fldChar w:fldCharType="begin"/>
        </w:r>
        <w:r>
          <w:instrText xml:space="preserve">PAGE   \* MERGEFORMAT</w:instrText>
        </w:r>
        <w:r>
          <w:fldChar w:fldCharType="separate"/>
        </w:r>
        <w:r>
          <w:rPr>
            <w:lang w:val="zh-CN"/>
          </w:rPr>
          <w:t>8</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D4DC7"/>
    <w:rsid w:val="0008105C"/>
    <w:rsid w:val="00092267"/>
    <w:rsid w:val="000F2068"/>
    <w:rsid w:val="000F3742"/>
    <w:rsid w:val="001256B1"/>
    <w:rsid w:val="00151E0B"/>
    <w:rsid w:val="00163A2D"/>
    <w:rsid w:val="00194BDF"/>
    <w:rsid w:val="001955E2"/>
    <w:rsid w:val="001968BB"/>
    <w:rsid w:val="00210117"/>
    <w:rsid w:val="00246345"/>
    <w:rsid w:val="00263D27"/>
    <w:rsid w:val="00270C44"/>
    <w:rsid w:val="00284FBF"/>
    <w:rsid w:val="00286F9F"/>
    <w:rsid w:val="002A017B"/>
    <w:rsid w:val="002A076F"/>
    <w:rsid w:val="002D7243"/>
    <w:rsid w:val="002F089C"/>
    <w:rsid w:val="00316F5E"/>
    <w:rsid w:val="00361816"/>
    <w:rsid w:val="003745C2"/>
    <w:rsid w:val="00382531"/>
    <w:rsid w:val="00396D04"/>
    <w:rsid w:val="003A5E7C"/>
    <w:rsid w:val="003C1E10"/>
    <w:rsid w:val="003C326A"/>
    <w:rsid w:val="003E4E38"/>
    <w:rsid w:val="003F1B88"/>
    <w:rsid w:val="003F4796"/>
    <w:rsid w:val="00431B6A"/>
    <w:rsid w:val="00465A8B"/>
    <w:rsid w:val="004736E0"/>
    <w:rsid w:val="00482C33"/>
    <w:rsid w:val="004B1A82"/>
    <w:rsid w:val="004D4DC7"/>
    <w:rsid w:val="004D4E78"/>
    <w:rsid w:val="0051711A"/>
    <w:rsid w:val="00561F5E"/>
    <w:rsid w:val="00563F89"/>
    <w:rsid w:val="0059753D"/>
    <w:rsid w:val="005A398A"/>
    <w:rsid w:val="005A4AF8"/>
    <w:rsid w:val="005B3805"/>
    <w:rsid w:val="005B6944"/>
    <w:rsid w:val="005C470A"/>
    <w:rsid w:val="005E3962"/>
    <w:rsid w:val="00601B1B"/>
    <w:rsid w:val="00661287"/>
    <w:rsid w:val="007165DD"/>
    <w:rsid w:val="00785C7D"/>
    <w:rsid w:val="007C242B"/>
    <w:rsid w:val="007D6F50"/>
    <w:rsid w:val="0081388C"/>
    <w:rsid w:val="008140CB"/>
    <w:rsid w:val="00863D5D"/>
    <w:rsid w:val="00867F15"/>
    <w:rsid w:val="00884C03"/>
    <w:rsid w:val="008865CA"/>
    <w:rsid w:val="00894D82"/>
    <w:rsid w:val="008B686F"/>
    <w:rsid w:val="008B7C98"/>
    <w:rsid w:val="008F2726"/>
    <w:rsid w:val="009160B9"/>
    <w:rsid w:val="00917382"/>
    <w:rsid w:val="00926699"/>
    <w:rsid w:val="009C4197"/>
    <w:rsid w:val="009C78E9"/>
    <w:rsid w:val="00A0677F"/>
    <w:rsid w:val="00A1135E"/>
    <w:rsid w:val="00A30F42"/>
    <w:rsid w:val="00A46A3C"/>
    <w:rsid w:val="00A672F4"/>
    <w:rsid w:val="00A95537"/>
    <w:rsid w:val="00B07FD8"/>
    <w:rsid w:val="00B42B47"/>
    <w:rsid w:val="00B44D8B"/>
    <w:rsid w:val="00B457F5"/>
    <w:rsid w:val="00B54897"/>
    <w:rsid w:val="00B735E5"/>
    <w:rsid w:val="00BA6515"/>
    <w:rsid w:val="00BC778A"/>
    <w:rsid w:val="00BE62A2"/>
    <w:rsid w:val="00BE7D58"/>
    <w:rsid w:val="00C13A9D"/>
    <w:rsid w:val="00C17C70"/>
    <w:rsid w:val="00C5245D"/>
    <w:rsid w:val="00C64E7B"/>
    <w:rsid w:val="00C71EC2"/>
    <w:rsid w:val="00CE7CA7"/>
    <w:rsid w:val="00D12945"/>
    <w:rsid w:val="00D160CE"/>
    <w:rsid w:val="00D27422"/>
    <w:rsid w:val="00D56536"/>
    <w:rsid w:val="00D7583E"/>
    <w:rsid w:val="00DA0BC3"/>
    <w:rsid w:val="00DB47FB"/>
    <w:rsid w:val="00DE3568"/>
    <w:rsid w:val="00DE5698"/>
    <w:rsid w:val="00DF6AF8"/>
    <w:rsid w:val="00E50E57"/>
    <w:rsid w:val="00E756B2"/>
    <w:rsid w:val="00E756DB"/>
    <w:rsid w:val="00EA559D"/>
    <w:rsid w:val="00EA7AB8"/>
    <w:rsid w:val="00EB055F"/>
    <w:rsid w:val="00EB419C"/>
    <w:rsid w:val="00EF202F"/>
    <w:rsid w:val="00EF79AB"/>
    <w:rsid w:val="00F269EF"/>
    <w:rsid w:val="00F565BE"/>
    <w:rsid w:val="00F6724C"/>
    <w:rsid w:val="00FC5F64"/>
    <w:rsid w:val="01706D57"/>
    <w:rsid w:val="01D3651B"/>
    <w:rsid w:val="02026532"/>
    <w:rsid w:val="02FA1F40"/>
    <w:rsid w:val="040D1DD1"/>
    <w:rsid w:val="095922BA"/>
    <w:rsid w:val="0987200C"/>
    <w:rsid w:val="0BE01A63"/>
    <w:rsid w:val="0D8B7AC0"/>
    <w:rsid w:val="110432DE"/>
    <w:rsid w:val="16392345"/>
    <w:rsid w:val="16BD4D81"/>
    <w:rsid w:val="19E66028"/>
    <w:rsid w:val="1E594AAB"/>
    <w:rsid w:val="1F79740C"/>
    <w:rsid w:val="22FF2CCA"/>
    <w:rsid w:val="258E2953"/>
    <w:rsid w:val="25FC4065"/>
    <w:rsid w:val="29A74165"/>
    <w:rsid w:val="2E795FCE"/>
    <w:rsid w:val="2FBA0886"/>
    <w:rsid w:val="2FCB19E6"/>
    <w:rsid w:val="300F34AF"/>
    <w:rsid w:val="31A64FB9"/>
    <w:rsid w:val="365C6C61"/>
    <w:rsid w:val="36B627CD"/>
    <w:rsid w:val="37AC31DA"/>
    <w:rsid w:val="38C90783"/>
    <w:rsid w:val="3A520BD6"/>
    <w:rsid w:val="3F92058E"/>
    <w:rsid w:val="3FD40852"/>
    <w:rsid w:val="40B82446"/>
    <w:rsid w:val="435C2098"/>
    <w:rsid w:val="44355135"/>
    <w:rsid w:val="4C5A3A82"/>
    <w:rsid w:val="4EC2408E"/>
    <w:rsid w:val="52671BFD"/>
    <w:rsid w:val="580445FE"/>
    <w:rsid w:val="599A4D08"/>
    <w:rsid w:val="5A162DBB"/>
    <w:rsid w:val="5E727BA9"/>
    <w:rsid w:val="6052613A"/>
    <w:rsid w:val="6141094F"/>
    <w:rsid w:val="633867D1"/>
    <w:rsid w:val="64736163"/>
    <w:rsid w:val="68321ACE"/>
    <w:rsid w:val="690F5A14"/>
    <w:rsid w:val="6A82281E"/>
    <w:rsid w:val="6BC02957"/>
    <w:rsid w:val="70D6205F"/>
    <w:rsid w:val="70EC199B"/>
    <w:rsid w:val="78670FC8"/>
    <w:rsid w:val="7B375124"/>
    <w:rsid w:val="7F852B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32"/>
      <w:szCs w:val="32"/>
      <w:lang w:val="en-US" w:eastAsia="zh-CN" w:bidi="ar-SA"/>
    </w:rPr>
  </w:style>
  <w:style w:type="paragraph" w:styleId="2">
    <w:name w:val="heading 4"/>
    <w:basedOn w:val="1"/>
    <w:next w:val="1"/>
    <w:link w:val="13"/>
    <w:unhideWhenUsed/>
    <w:qFormat/>
    <w:uiPriority w:val="99"/>
    <w:pPr>
      <w:spacing w:beforeAutospacing="1" w:afterAutospacing="1"/>
      <w:jc w:val="left"/>
      <w:outlineLvl w:val="3"/>
    </w:pPr>
    <w:rPr>
      <w:rFonts w:hint="eastAsia" w:ascii="宋体" w:hAnsi="宋体" w:eastAsia="宋体" w:cs="宋体"/>
      <w:b/>
      <w:kern w:val="0"/>
      <w:sz w:val="24"/>
      <w:szCs w:val="24"/>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4"/>
    <w:qFormat/>
    <w:uiPriority w:val="0"/>
    <w:rPr>
      <w:rFonts w:ascii="Times New Roman" w:hAnsi="Times New Roman" w:eastAsia="宋体" w:cs="Times New Roman"/>
      <w:sz w:val="18"/>
      <w:szCs w:val="18"/>
    </w:rPr>
  </w:style>
  <w:style w:type="paragraph" w:styleId="4">
    <w:name w:val="footer"/>
    <w:basedOn w:val="1"/>
    <w:link w:val="15"/>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unhideWhenUsed/>
    <w:qFormat/>
    <w:uiPriority w:val="99"/>
    <w:pPr>
      <w:jc w:val="left"/>
    </w:pPr>
    <w:rPr>
      <w:rFonts w:ascii="Times New Roman" w:hAnsi="Times New Roman" w:eastAsia="宋体" w:cs="Times New Roman"/>
      <w:kern w:val="0"/>
      <w:sz w:val="24"/>
    </w:rPr>
  </w:style>
  <w:style w:type="table" w:styleId="8">
    <w:name w:val="Table Grid"/>
    <w:basedOn w:val="7"/>
    <w:unhideWhenUsed/>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page number"/>
    <w:qFormat/>
    <w:uiPriority w:val="0"/>
  </w:style>
  <w:style w:type="character" w:styleId="11">
    <w:name w:val="FollowedHyperlink"/>
    <w:basedOn w:val="9"/>
    <w:unhideWhenUsed/>
    <w:qFormat/>
    <w:uiPriority w:val="99"/>
    <w:rPr>
      <w:color w:val="000000"/>
      <w:u w:val="none"/>
    </w:rPr>
  </w:style>
  <w:style w:type="character" w:styleId="12">
    <w:name w:val="Hyperlink"/>
    <w:basedOn w:val="9"/>
    <w:unhideWhenUsed/>
    <w:qFormat/>
    <w:uiPriority w:val="99"/>
    <w:rPr>
      <w:color w:val="0000FF" w:themeColor="hyperlink"/>
      <w:u w:val="single"/>
    </w:rPr>
  </w:style>
  <w:style w:type="character" w:customStyle="1" w:styleId="13">
    <w:name w:val="标题 4 Char"/>
    <w:basedOn w:val="9"/>
    <w:link w:val="2"/>
    <w:qFormat/>
    <w:uiPriority w:val="99"/>
    <w:rPr>
      <w:rFonts w:ascii="宋体" w:hAnsi="宋体" w:eastAsia="宋体" w:cs="宋体"/>
      <w:b/>
      <w:kern w:val="0"/>
      <w:sz w:val="24"/>
      <w:szCs w:val="24"/>
    </w:rPr>
  </w:style>
  <w:style w:type="character" w:customStyle="1" w:styleId="14">
    <w:name w:val="批注框文本 Char"/>
    <w:basedOn w:val="9"/>
    <w:link w:val="3"/>
    <w:qFormat/>
    <w:uiPriority w:val="0"/>
    <w:rPr>
      <w:rFonts w:ascii="Times New Roman" w:hAnsi="Times New Roman" w:eastAsia="宋体" w:cs="Times New Roman"/>
      <w:sz w:val="18"/>
      <w:szCs w:val="18"/>
    </w:rPr>
  </w:style>
  <w:style w:type="character" w:customStyle="1" w:styleId="15">
    <w:name w:val="页脚 Char"/>
    <w:basedOn w:val="9"/>
    <w:link w:val="4"/>
    <w:qFormat/>
    <w:uiPriority w:val="99"/>
    <w:rPr>
      <w:rFonts w:ascii="Times New Roman" w:hAnsi="Times New Roman" w:eastAsia="宋体" w:cs="Times New Roman"/>
      <w:sz w:val="18"/>
      <w:szCs w:val="18"/>
    </w:rPr>
  </w:style>
  <w:style w:type="character" w:customStyle="1" w:styleId="16">
    <w:name w:val="页眉 Char"/>
    <w:basedOn w:val="9"/>
    <w:link w:val="5"/>
    <w:qFormat/>
    <w:uiPriority w:val="0"/>
    <w:rPr>
      <w:rFonts w:ascii="Times New Roman" w:hAnsi="Times New Roman" w:eastAsia="宋体" w:cs="Times New Roman"/>
      <w:sz w:val="18"/>
      <w:szCs w:val="18"/>
    </w:rPr>
  </w:style>
  <w:style w:type="paragraph" w:customStyle="1" w:styleId="17">
    <w:name w:val="Char Char Char Char"/>
    <w:basedOn w:val="1"/>
    <w:qFormat/>
    <w:uiPriority w:val="0"/>
    <w:pPr>
      <w:widowControl/>
      <w:spacing w:after="160" w:line="240" w:lineRule="exact"/>
      <w:jc w:val="left"/>
    </w:pPr>
    <w:rPr>
      <w:rFonts w:ascii="Times New Roman" w:hAnsi="Times New Roman" w:eastAsia="宋体" w:cs="Times New Roman"/>
      <w:sz w:val="32"/>
      <w:szCs w:val="32"/>
    </w:rPr>
  </w:style>
  <w:style w:type="paragraph" w:customStyle="1" w:styleId="18">
    <w:name w:val="p0"/>
    <w:basedOn w:val="1"/>
    <w:qFormat/>
    <w:uiPriority w:val="0"/>
    <w:pPr>
      <w:widowControl/>
    </w:pPr>
    <w:rPr>
      <w:rFonts w:ascii="Times New Roman" w:hAnsi="Times New Roman" w:eastAsia="宋体" w:cs="Times New Roman"/>
      <w:kern w:val="0"/>
      <w:szCs w:val="21"/>
    </w:rPr>
  </w:style>
  <w:style w:type="paragraph" w:customStyle="1" w:styleId="19">
    <w:name w:val="正文1"/>
    <w:qFormat/>
    <w:uiPriority w:val="0"/>
    <w:pPr>
      <w:widowControl w:val="0"/>
      <w:jc w:val="both"/>
    </w:pPr>
    <w:rPr>
      <w:rFonts w:ascii="Times New Roman" w:hAnsi="Times New Roman" w:eastAsia="宋体" w:cs="Times New Roman"/>
      <w:lang w:val="en-US" w:eastAsia="zh-CN" w:bidi="ar-SA"/>
    </w:rPr>
  </w:style>
  <w:style w:type="table" w:customStyle="1" w:styleId="20">
    <w:name w:val="网格型1"/>
    <w:basedOn w:val="7"/>
    <w:qFormat/>
    <w:uiPriority w:val="59"/>
    <w:rPr>
      <w:rFonts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22">
    <w:name w:val="缩进2字符正文"/>
    <w:basedOn w:val="1"/>
    <w:next w:val="1"/>
    <w:link w:val="23"/>
    <w:uiPriority w:val="0"/>
    <w:pPr>
      <w:ind w:firstLine="640" w:firstLineChars="200"/>
    </w:pPr>
  </w:style>
  <w:style w:type="character" w:customStyle="1" w:styleId="23">
    <w:name w:val="缩进2字符正文 Char"/>
    <w:link w:val="22"/>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9</Pages>
  <Words>5150</Words>
  <Characters>119</Characters>
  <Lines>1</Lines>
  <Paragraphs>10</Paragraphs>
  <TotalTime>94</TotalTime>
  <ScaleCrop>false</ScaleCrop>
  <LinksUpToDate>false</LinksUpToDate>
  <CharactersWithSpaces>5259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2015-12-07T01:26:00Z</dcterms:created>
  <dc:creator>Chinese User</dc:creator>
  <cp:lastModifiedBy>Li Yuhang</cp:lastModifiedBy>
  <cp:lastPrinted>2020-12-08T01:31:00Z</cp:lastPrinted>
  <dcterms:modified xsi:type="dcterms:W3CDTF">2021-03-17T05:44:26Z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