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outlineLvl w:val="1"/>
        <w:rPr>
          <w:rFonts w:ascii="宋体" w:hAnsi="宋体" w:eastAsia="宋体" w:cs="宋体"/>
          <w:b/>
          <w:bCs/>
          <w:color w:val="336699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6699"/>
          <w:kern w:val="0"/>
          <w:sz w:val="36"/>
          <w:szCs w:val="36"/>
        </w:rPr>
        <w:t>公路部门</w:t>
      </w:r>
    </w:p>
    <w:tbl>
      <w:tblPr>
        <w:tblStyle w:val="6"/>
        <w:tblpPr w:leftFromText="180" w:rightFromText="180" w:vertAnchor="text" w:horzAnchor="page" w:tblpX="1291" w:tblpY="83"/>
        <w:tblW w:w="9637" w:type="dxa"/>
        <w:tblCellSpacing w:w="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333333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7"/>
        <w:gridCol w:w="1546"/>
        <w:gridCol w:w="2273"/>
        <w:gridCol w:w="1275"/>
        <w:gridCol w:w="1418"/>
        <w:gridCol w:w="1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收费项目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文件依据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计算单位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收费标准</w:t>
            </w:r>
          </w:p>
          <w:p>
            <w:pPr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19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备    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一、占用利用公路路产赔偿费</w:t>
            </w:r>
          </w:p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（企业免征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）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粤价函[2004]506号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粤发改价格【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2016】180号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      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（一）开设平交道口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梅市价[2005]01号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1、二级及以上公路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米/年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900</w:t>
            </w:r>
          </w:p>
        </w:tc>
        <w:tc>
          <w:tcPr>
            <w:tcW w:w="19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2、三级及以下公路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米/年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630</w:t>
            </w:r>
          </w:p>
        </w:tc>
        <w:tc>
          <w:tcPr>
            <w:tcW w:w="19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（二）占用公路或公路用地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1、公路、公路用地上埋电（光）缆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米/孔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9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一次性收取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  <w:tblCellSpacing w:w="7" w:type="dxa"/>
        </w:trPr>
        <w:tc>
          <w:tcPr>
            <w:tcW w:w="1146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2、管线</w:t>
            </w:r>
          </w:p>
        </w:tc>
        <w:tc>
          <w:tcPr>
            <w:tcW w:w="15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 横穿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1937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一次性收取，直径30cm以上的外径每增加10cm，补偿费标准增加10%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tblCellSpacing w:w="7" w:type="dxa"/>
        </w:trPr>
        <w:tc>
          <w:tcPr>
            <w:tcW w:w="1146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（2）纵向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937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2、利用桥梁、隧道设置管线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19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3、设置电杆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根/年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900</w:t>
            </w:r>
          </w:p>
        </w:tc>
        <w:tc>
          <w:tcPr>
            <w:tcW w:w="19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4、设置电塔、变压器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座/年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4500</w:t>
            </w:r>
          </w:p>
        </w:tc>
        <w:tc>
          <w:tcPr>
            <w:tcW w:w="19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5、其他占用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（1）占用路肩、人行道、边沟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m2/天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19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（2）占用路面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m2/天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9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（3）占用公路用地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m2/天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0.9</w:t>
            </w:r>
          </w:p>
        </w:tc>
        <w:tc>
          <w:tcPr>
            <w:tcW w:w="19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（4）占用绿化带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m2/天</w:t>
            </w: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2.7</w:t>
            </w:r>
          </w:p>
        </w:tc>
        <w:tc>
          <w:tcPr>
            <w:tcW w:w="19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二、损坏公路路产赔偿收费</w:t>
            </w:r>
          </w:p>
        </w:tc>
        <w:tc>
          <w:tcPr>
            <w:tcW w:w="225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粤交路[1998]38号、梅市价[2002]34号、梅市价[2005]01号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0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3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详见文件</w:t>
            </w:r>
          </w:p>
        </w:tc>
      </w:tr>
    </w:tbl>
    <w:p>
      <w:pPr>
        <w:widowControl/>
        <w:shd w:val="clear" w:color="auto" w:fill="FFFFFF"/>
        <w:spacing w:line="600" w:lineRule="atLeast"/>
        <w:jc w:val="center"/>
        <w:outlineLvl w:val="1"/>
        <w:rPr>
          <w:rFonts w:ascii="宋体" w:hAnsi="宋体" w:eastAsia="宋体" w:cs="宋体"/>
          <w:b/>
          <w:bCs/>
          <w:color w:val="336699"/>
          <w:kern w:val="0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6AC"/>
    <w:rsid w:val="006228C0"/>
    <w:rsid w:val="009126AC"/>
    <w:rsid w:val="009E137D"/>
    <w:rsid w:val="298527A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标题 2 Char"/>
    <w:basedOn w:val="5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450</Characters>
  <Lines>3</Lines>
  <Paragraphs>1</Paragraphs>
  <TotalTime>0</TotalTime>
  <ScaleCrop>false</ScaleCrop>
  <LinksUpToDate>false</LinksUpToDate>
  <CharactersWithSpaces>527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2014-02-19T08:18:00Z</dcterms:created>
  <dc:creator>JIANG</dc:creator>
  <cp:lastModifiedBy>Aaron</cp:lastModifiedBy>
  <dcterms:modified xsi:type="dcterms:W3CDTF">2016-10-10T02:27:19Z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