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75C9" w:rsidRDefault="006D75C9">
      <w:pPr>
        <w:spacing w:beforeLines="100" w:before="240"/>
        <w:jc w:val="center"/>
        <w:rPr>
          <w:rFonts w:ascii="宋体" w:hAnsi="宋体"/>
          <w:b/>
          <w:sz w:val="48"/>
          <w:szCs w:val="48"/>
        </w:rPr>
      </w:pPr>
    </w:p>
    <w:p w:rsidR="006D75C9" w:rsidRDefault="006D75C9">
      <w:pPr>
        <w:spacing w:beforeLines="100" w:before="240"/>
        <w:jc w:val="center"/>
        <w:rPr>
          <w:rFonts w:ascii="宋体" w:hAnsi="宋体"/>
          <w:b/>
          <w:sz w:val="48"/>
          <w:szCs w:val="48"/>
        </w:rPr>
      </w:pPr>
    </w:p>
    <w:p w:rsidR="006D75C9" w:rsidRDefault="000B15B3">
      <w:pPr>
        <w:jc w:val="center"/>
        <w:rPr>
          <w:rFonts w:ascii="黑体" w:eastAsia="黑体" w:hAnsi="黑体"/>
          <w:b/>
          <w:sz w:val="60"/>
          <w:szCs w:val="60"/>
        </w:rPr>
      </w:pPr>
      <w:r>
        <w:rPr>
          <w:rFonts w:ascii="黑体" w:eastAsia="黑体" w:hAnsi="黑体" w:hint="eastAsia"/>
          <w:b/>
          <w:sz w:val="60"/>
          <w:szCs w:val="60"/>
        </w:rPr>
        <w:t>梅州国家公路运输枢纽总体规划</w:t>
      </w:r>
    </w:p>
    <w:p w:rsidR="006D75C9" w:rsidRDefault="000B15B3">
      <w:pPr>
        <w:pStyle w:val="11"/>
        <w:ind w:firstLineChars="0" w:firstLine="0"/>
        <w:jc w:val="center"/>
        <w:rPr>
          <w:rFonts w:eastAsia="黑体"/>
          <w:b/>
          <w:sz w:val="56"/>
          <w:szCs w:val="56"/>
        </w:rPr>
      </w:pPr>
      <w:r>
        <w:rPr>
          <w:rFonts w:eastAsia="黑体" w:hint="eastAsia"/>
          <w:b/>
          <w:sz w:val="56"/>
          <w:szCs w:val="56"/>
        </w:rPr>
        <w:t>（</w:t>
      </w:r>
      <w:r>
        <w:rPr>
          <w:rFonts w:eastAsia="黑体" w:hint="eastAsia"/>
          <w:b/>
          <w:sz w:val="56"/>
          <w:szCs w:val="56"/>
        </w:rPr>
        <w:t>201</w:t>
      </w:r>
      <w:r w:rsidR="00E5493C">
        <w:rPr>
          <w:rFonts w:eastAsia="黑体" w:hint="eastAsia"/>
          <w:b/>
          <w:sz w:val="56"/>
          <w:szCs w:val="56"/>
        </w:rPr>
        <w:t>3</w:t>
      </w:r>
      <w:r>
        <w:rPr>
          <w:rFonts w:ascii="黑体" w:eastAsia="黑体" w:hAnsi="黑体" w:hint="eastAsia"/>
          <w:b/>
          <w:sz w:val="56"/>
          <w:szCs w:val="56"/>
        </w:rPr>
        <w:t>～</w:t>
      </w:r>
      <w:r>
        <w:rPr>
          <w:rFonts w:eastAsia="黑体" w:hint="eastAsia"/>
          <w:b/>
          <w:sz w:val="56"/>
          <w:szCs w:val="56"/>
        </w:rPr>
        <w:t>2030</w:t>
      </w:r>
      <w:r>
        <w:rPr>
          <w:rFonts w:eastAsia="黑体" w:hint="eastAsia"/>
          <w:b/>
          <w:sz w:val="56"/>
          <w:szCs w:val="56"/>
        </w:rPr>
        <w:t>年）</w:t>
      </w:r>
    </w:p>
    <w:p w:rsidR="006D75C9" w:rsidRPr="008E34A4" w:rsidRDefault="006D75C9">
      <w:pPr>
        <w:pStyle w:val="11"/>
        <w:ind w:firstLineChars="0" w:firstLine="0"/>
        <w:jc w:val="center"/>
        <w:rPr>
          <w:rFonts w:eastAsia="黑体"/>
          <w:sz w:val="56"/>
          <w:szCs w:val="56"/>
        </w:rPr>
      </w:pPr>
    </w:p>
    <w:p w:rsidR="006D75C9" w:rsidRDefault="006D75C9">
      <w:pPr>
        <w:pStyle w:val="11"/>
        <w:ind w:firstLineChars="0" w:firstLine="0"/>
        <w:jc w:val="center"/>
        <w:rPr>
          <w:rFonts w:eastAsia="黑体"/>
          <w:sz w:val="56"/>
          <w:szCs w:val="56"/>
        </w:rPr>
      </w:pPr>
    </w:p>
    <w:p w:rsidR="006D75C9" w:rsidRDefault="006D75C9">
      <w:pPr>
        <w:pStyle w:val="11"/>
        <w:ind w:firstLineChars="0" w:firstLine="0"/>
        <w:jc w:val="center"/>
        <w:rPr>
          <w:rFonts w:eastAsia="黑体"/>
          <w:sz w:val="56"/>
          <w:szCs w:val="56"/>
        </w:rPr>
      </w:pPr>
    </w:p>
    <w:p w:rsidR="006D75C9" w:rsidRDefault="006D75C9">
      <w:pPr>
        <w:pStyle w:val="11"/>
        <w:ind w:firstLineChars="0" w:firstLine="0"/>
        <w:jc w:val="center"/>
        <w:rPr>
          <w:rFonts w:eastAsia="黑体"/>
          <w:sz w:val="56"/>
          <w:szCs w:val="56"/>
        </w:rPr>
      </w:pPr>
    </w:p>
    <w:p w:rsidR="006D75C9" w:rsidRDefault="006D75C9">
      <w:pPr>
        <w:spacing w:line="360" w:lineRule="auto"/>
        <w:ind w:leftChars="1028" w:left="2159" w:rightChars="955" w:right="2005"/>
        <w:jc w:val="distribute"/>
        <w:rPr>
          <w:rFonts w:ascii="宋体" w:hAnsi="宋体"/>
          <w:b/>
          <w:spacing w:val="60"/>
          <w:sz w:val="36"/>
          <w:szCs w:val="36"/>
        </w:rPr>
      </w:pPr>
    </w:p>
    <w:p w:rsidR="006D75C9" w:rsidRDefault="006D75C9">
      <w:pPr>
        <w:spacing w:line="360" w:lineRule="auto"/>
        <w:ind w:leftChars="1028" w:left="2159" w:rightChars="955" w:right="2005"/>
        <w:jc w:val="distribute"/>
        <w:rPr>
          <w:rFonts w:ascii="宋体" w:hAnsi="宋体"/>
          <w:b/>
          <w:spacing w:val="60"/>
          <w:sz w:val="36"/>
          <w:szCs w:val="36"/>
        </w:rPr>
      </w:pPr>
    </w:p>
    <w:p w:rsidR="006D75C9" w:rsidRPr="00F4700B" w:rsidRDefault="000B15B3">
      <w:pPr>
        <w:spacing w:line="360" w:lineRule="auto"/>
        <w:ind w:leftChars="1028" w:left="2159" w:rightChars="955" w:right="2005"/>
        <w:jc w:val="distribute"/>
        <w:rPr>
          <w:rFonts w:ascii="黑体" w:eastAsia="黑体" w:hAnsi="黑体"/>
          <w:b/>
          <w:spacing w:val="60"/>
          <w:sz w:val="36"/>
          <w:szCs w:val="36"/>
        </w:rPr>
      </w:pPr>
      <w:r w:rsidRPr="00F4700B">
        <w:rPr>
          <w:rFonts w:ascii="黑体" w:eastAsia="黑体" w:hAnsi="黑体" w:hint="eastAsia"/>
          <w:b/>
          <w:spacing w:val="60"/>
          <w:sz w:val="36"/>
          <w:szCs w:val="36"/>
        </w:rPr>
        <w:t>广东省交通运输厅</w:t>
      </w:r>
    </w:p>
    <w:p w:rsidR="006D75C9" w:rsidRPr="00F4700B" w:rsidRDefault="000B15B3">
      <w:pPr>
        <w:spacing w:line="360" w:lineRule="auto"/>
        <w:ind w:leftChars="1028" w:left="2159" w:rightChars="955" w:right="2005"/>
        <w:jc w:val="distribute"/>
        <w:rPr>
          <w:rFonts w:ascii="黑体" w:eastAsia="黑体" w:hAnsi="黑体"/>
          <w:b/>
          <w:spacing w:val="60"/>
          <w:sz w:val="36"/>
          <w:szCs w:val="36"/>
        </w:rPr>
      </w:pPr>
      <w:r w:rsidRPr="00F4700B">
        <w:rPr>
          <w:rFonts w:ascii="黑体" w:eastAsia="黑体" w:hAnsi="黑体" w:hint="eastAsia"/>
          <w:b/>
          <w:spacing w:val="60"/>
          <w:sz w:val="36"/>
          <w:szCs w:val="36"/>
        </w:rPr>
        <w:t>梅州市交通运输局</w:t>
      </w:r>
    </w:p>
    <w:p w:rsidR="006D75C9" w:rsidRPr="00F4700B" w:rsidRDefault="006D75C9">
      <w:pPr>
        <w:ind w:leftChars="1028" w:left="2159" w:rightChars="955" w:right="2005"/>
        <w:jc w:val="distribute"/>
        <w:rPr>
          <w:rFonts w:ascii="黑体" w:eastAsia="黑体" w:hAnsi="黑体"/>
          <w:b/>
          <w:spacing w:val="60"/>
          <w:sz w:val="36"/>
          <w:szCs w:val="36"/>
        </w:rPr>
      </w:pPr>
    </w:p>
    <w:p w:rsidR="006D75C9" w:rsidRPr="00F4700B" w:rsidRDefault="000B15B3">
      <w:pPr>
        <w:jc w:val="center"/>
        <w:rPr>
          <w:rFonts w:ascii="黑体" w:eastAsia="黑体" w:hAnsi="黑体"/>
          <w:b/>
          <w:spacing w:val="60"/>
          <w:sz w:val="32"/>
          <w:szCs w:val="32"/>
        </w:rPr>
      </w:pPr>
      <w:r w:rsidRPr="00F4700B">
        <w:rPr>
          <w:rFonts w:ascii="黑体" w:eastAsia="黑体" w:hAnsi="黑体" w:hint="eastAsia"/>
          <w:b/>
          <w:spacing w:val="60"/>
          <w:sz w:val="32"/>
          <w:szCs w:val="32"/>
        </w:rPr>
        <w:t>二〇一五年</w:t>
      </w:r>
      <w:r w:rsidR="00E5493C" w:rsidRPr="00F4700B">
        <w:rPr>
          <w:rFonts w:ascii="黑体" w:eastAsia="黑体" w:hAnsi="黑体" w:hint="eastAsia"/>
          <w:b/>
          <w:spacing w:val="60"/>
          <w:sz w:val="32"/>
          <w:szCs w:val="32"/>
        </w:rPr>
        <w:t>十</w:t>
      </w:r>
      <w:r w:rsidRPr="00F4700B">
        <w:rPr>
          <w:rFonts w:ascii="黑体" w:eastAsia="黑体" w:hAnsi="黑体" w:hint="eastAsia"/>
          <w:b/>
          <w:spacing w:val="60"/>
          <w:sz w:val="32"/>
          <w:szCs w:val="32"/>
        </w:rPr>
        <w:t>月</w:t>
      </w:r>
    </w:p>
    <w:p w:rsidR="006D75C9" w:rsidRDefault="006D75C9">
      <w:pPr>
        <w:tabs>
          <w:tab w:val="left" w:pos="6300"/>
        </w:tabs>
        <w:snapToGrid w:val="0"/>
        <w:spacing w:line="480" w:lineRule="auto"/>
        <w:rPr>
          <w:sz w:val="28"/>
        </w:rPr>
      </w:pPr>
    </w:p>
    <w:p w:rsidR="006D75C9" w:rsidRDefault="000B15B3">
      <w:pPr>
        <w:pStyle w:val="11"/>
      </w:pPr>
      <w:r>
        <w:br w:type="page"/>
      </w:r>
    </w:p>
    <w:p w:rsidR="006D75C9" w:rsidRDefault="006D75C9">
      <w:pPr>
        <w:pStyle w:val="11"/>
        <w:spacing w:beforeLines="50" w:before="120" w:line="240" w:lineRule="auto"/>
        <w:ind w:firstLineChars="0" w:firstLine="0"/>
        <w:jc w:val="center"/>
        <w:rPr>
          <w:rFonts w:ascii="黑体" w:eastAsia="黑体" w:hAnsi="黑体"/>
          <w:b/>
          <w:sz w:val="32"/>
          <w:szCs w:val="32"/>
        </w:rPr>
      </w:pPr>
    </w:p>
    <w:p w:rsidR="006D75C9" w:rsidRDefault="000B15B3">
      <w:pPr>
        <w:pStyle w:val="11"/>
        <w:snapToGrid w:val="0"/>
        <w:spacing w:beforeLines="100" w:before="240" w:afterLines="100" w:after="240"/>
        <w:ind w:firstLineChars="0" w:firstLine="0"/>
        <w:jc w:val="center"/>
        <w:rPr>
          <w:rFonts w:ascii="黑体" w:eastAsia="黑体" w:hAnsi="黑体"/>
          <w:b/>
          <w:sz w:val="44"/>
          <w:szCs w:val="32"/>
        </w:rPr>
      </w:pPr>
      <w:r>
        <w:rPr>
          <w:rFonts w:ascii="黑体" w:eastAsia="黑体" w:hAnsi="黑体" w:hint="eastAsia"/>
          <w:b/>
          <w:sz w:val="44"/>
          <w:szCs w:val="32"/>
        </w:rPr>
        <w:t>目    录</w:t>
      </w:r>
    </w:p>
    <w:p w:rsidR="006D75C9" w:rsidRDefault="000B15B3">
      <w:pPr>
        <w:pStyle w:val="10"/>
        <w:spacing w:before="240" w:after="120"/>
        <w:rPr>
          <w:rFonts w:ascii="Calibri" w:hAnsi="Calibri" w:cs="黑体"/>
          <w:b w:val="0"/>
          <w:kern w:val="2"/>
          <w:sz w:val="21"/>
          <w:szCs w:val="22"/>
        </w:rPr>
      </w:pPr>
      <w:r>
        <w:fldChar w:fldCharType="begin"/>
      </w:r>
      <w:r>
        <w:instrText xml:space="preserve"> </w:instrText>
      </w:r>
      <w:r>
        <w:rPr>
          <w:rFonts w:hint="eastAsia"/>
        </w:rPr>
        <w:instrText>TOC \o "1-2" \h \z \u</w:instrText>
      </w:r>
      <w:r>
        <w:instrText xml:space="preserve"> </w:instrText>
      </w:r>
      <w:r>
        <w:fldChar w:fldCharType="separate"/>
      </w:r>
      <w:hyperlink w:anchor="_Toc430166385" w:history="1">
        <w:r>
          <w:rPr>
            <w:rStyle w:val="ae"/>
            <w:rFonts w:hint="eastAsia"/>
          </w:rPr>
          <w:t>第一章</w:t>
        </w:r>
        <w:r>
          <w:rPr>
            <w:rStyle w:val="ae"/>
          </w:rPr>
          <w:t xml:space="preserve">  </w:t>
        </w:r>
        <w:r>
          <w:rPr>
            <w:rStyle w:val="ae"/>
            <w:rFonts w:hint="eastAsia"/>
          </w:rPr>
          <w:t>规划背景</w:t>
        </w:r>
        <w:r>
          <w:tab/>
        </w:r>
        <w:r>
          <w:fldChar w:fldCharType="begin"/>
        </w:r>
        <w:r>
          <w:instrText xml:space="preserve"> PAGEREF _Toc430166385 \h </w:instrText>
        </w:r>
        <w:r>
          <w:fldChar w:fldCharType="separate"/>
        </w:r>
        <w:r>
          <w:t>1</w:t>
        </w:r>
        <w:r>
          <w:fldChar w:fldCharType="end"/>
        </w:r>
      </w:hyperlink>
    </w:p>
    <w:p w:rsidR="006D75C9" w:rsidRDefault="00AE7595">
      <w:pPr>
        <w:pStyle w:val="20"/>
        <w:spacing w:after="120"/>
        <w:ind w:left="420"/>
        <w:rPr>
          <w:rFonts w:ascii="Calibri" w:hAnsi="Calibri" w:cs="黑体"/>
          <w:kern w:val="2"/>
          <w:sz w:val="21"/>
          <w:szCs w:val="22"/>
        </w:rPr>
      </w:pPr>
      <w:hyperlink w:anchor="_Toc430166386" w:history="1">
        <w:r w:rsidR="000B15B3">
          <w:rPr>
            <w:rStyle w:val="ae"/>
            <w:rFonts w:hint="eastAsia"/>
          </w:rPr>
          <w:t>第一节</w:t>
        </w:r>
        <w:r w:rsidR="000B15B3">
          <w:rPr>
            <w:rStyle w:val="ae"/>
          </w:rPr>
          <w:t xml:space="preserve">  </w:t>
        </w:r>
        <w:r w:rsidR="000B15B3">
          <w:rPr>
            <w:rStyle w:val="ae"/>
            <w:rFonts w:hint="eastAsia"/>
          </w:rPr>
          <w:t>规划背景</w:t>
        </w:r>
        <w:r w:rsidR="000B15B3">
          <w:tab/>
        </w:r>
        <w:r w:rsidR="000B15B3">
          <w:fldChar w:fldCharType="begin"/>
        </w:r>
        <w:r w:rsidR="000B15B3">
          <w:instrText xml:space="preserve"> PAGEREF _Toc430166386 \h </w:instrText>
        </w:r>
        <w:r w:rsidR="000B15B3">
          <w:fldChar w:fldCharType="separate"/>
        </w:r>
        <w:r w:rsidR="000B15B3">
          <w:t>1</w:t>
        </w:r>
        <w:r w:rsidR="000B15B3">
          <w:fldChar w:fldCharType="end"/>
        </w:r>
      </w:hyperlink>
    </w:p>
    <w:p w:rsidR="006D75C9" w:rsidRDefault="00AE7595">
      <w:pPr>
        <w:pStyle w:val="20"/>
        <w:spacing w:after="120"/>
        <w:ind w:left="420"/>
        <w:rPr>
          <w:rFonts w:ascii="Calibri" w:hAnsi="Calibri" w:cs="黑体"/>
          <w:kern w:val="2"/>
          <w:sz w:val="21"/>
          <w:szCs w:val="22"/>
        </w:rPr>
      </w:pPr>
      <w:hyperlink w:anchor="_Toc430166387" w:history="1">
        <w:r w:rsidR="000B15B3">
          <w:rPr>
            <w:rStyle w:val="ae"/>
            <w:rFonts w:hint="eastAsia"/>
          </w:rPr>
          <w:t>第二节</w:t>
        </w:r>
        <w:r w:rsidR="000B15B3">
          <w:rPr>
            <w:rStyle w:val="ae"/>
          </w:rPr>
          <w:t xml:space="preserve">  </w:t>
        </w:r>
        <w:r w:rsidR="000B15B3">
          <w:rPr>
            <w:rStyle w:val="ae"/>
            <w:rFonts w:hint="eastAsia"/>
          </w:rPr>
          <w:t>规划依据</w:t>
        </w:r>
        <w:r w:rsidR="000B15B3">
          <w:tab/>
        </w:r>
        <w:r w:rsidR="000B15B3">
          <w:fldChar w:fldCharType="begin"/>
        </w:r>
        <w:r w:rsidR="000B15B3">
          <w:instrText xml:space="preserve"> PAGEREF _Toc430166387 \h </w:instrText>
        </w:r>
        <w:r w:rsidR="000B15B3">
          <w:fldChar w:fldCharType="separate"/>
        </w:r>
        <w:r w:rsidR="000B15B3">
          <w:t>5</w:t>
        </w:r>
        <w:r w:rsidR="000B15B3">
          <w:fldChar w:fldCharType="end"/>
        </w:r>
      </w:hyperlink>
    </w:p>
    <w:p w:rsidR="006D75C9" w:rsidRDefault="00AE7595">
      <w:pPr>
        <w:pStyle w:val="20"/>
        <w:spacing w:after="120"/>
        <w:ind w:left="420"/>
        <w:rPr>
          <w:rFonts w:ascii="Calibri" w:hAnsi="Calibri" w:cs="黑体"/>
          <w:kern w:val="2"/>
          <w:sz w:val="21"/>
          <w:szCs w:val="22"/>
        </w:rPr>
      </w:pPr>
      <w:hyperlink w:anchor="_Toc430166388" w:history="1">
        <w:r w:rsidR="000B15B3">
          <w:rPr>
            <w:rStyle w:val="ae"/>
            <w:rFonts w:hint="eastAsia"/>
          </w:rPr>
          <w:t>第三节</w:t>
        </w:r>
        <w:r w:rsidR="000B15B3">
          <w:rPr>
            <w:rStyle w:val="ae"/>
          </w:rPr>
          <w:t xml:space="preserve">  </w:t>
        </w:r>
        <w:r w:rsidR="000B15B3">
          <w:rPr>
            <w:rStyle w:val="ae"/>
            <w:rFonts w:hint="eastAsia"/>
          </w:rPr>
          <w:t>规划范围</w:t>
        </w:r>
        <w:r w:rsidR="000B15B3">
          <w:tab/>
        </w:r>
        <w:r w:rsidR="000B15B3">
          <w:fldChar w:fldCharType="begin"/>
        </w:r>
        <w:r w:rsidR="000B15B3">
          <w:instrText xml:space="preserve"> PAGEREF _Toc430166388 \h </w:instrText>
        </w:r>
        <w:r w:rsidR="000B15B3">
          <w:fldChar w:fldCharType="separate"/>
        </w:r>
        <w:r w:rsidR="000B15B3">
          <w:t>6</w:t>
        </w:r>
        <w:r w:rsidR="000B15B3">
          <w:fldChar w:fldCharType="end"/>
        </w:r>
      </w:hyperlink>
    </w:p>
    <w:p w:rsidR="006D75C9" w:rsidRDefault="00AE7595">
      <w:pPr>
        <w:pStyle w:val="20"/>
        <w:spacing w:after="120"/>
        <w:ind w:left="420"/>
        <w:rPr>
          <w:rFonts w:ascii="Calibri" w:hAnsi="Calibri" w:cs="黑体"/>
          <w:kern w:val="2"/>
          <w:sz w:val="21"/>
          <w:szCs w:val="22"/>
        </w:rPr>
      </w:pPr>
      <w:hyperlink w:anchor="_Toc430166389" w:history="1">
        <w:r w:rsidR="000B15B3">
          <w:rPr>
            <w:rStyle w:val="ae"/>
            <w:rFonts w:hint="eastAsia"/>
          </w:rPr>
          <w:t>第四节</w:t>
        </w:r>
        <w:r w:rsidR="000B15B3">
          <w:rPr>
            <w:rStyle w:val="ae"/>
          </w:rPr>
          <w:t xml:space="preserve">  </w:t>
        </w:r>
        <w:r w:rsidR="000B15B3">
          <w:rPr>
            <w:rStyle w:val="ae"/>
            <w:rFonts w:hint="eastAsia"/>
          </w:rPr>
          <w:t>规划期限</w:t>
        </w:r>
        <w:r w:rsidR="000B15B3">
          <w:tab/>
        </w:r>
        <w:r w:rsidR="000B15B3">
          <w:fldChar w:fldCharType="begin"/>
        </w:r>
        <w:r w:rsidR="000B15B3">
          <w:instrText xml:space="preserve"> PAGEREF _Toc430166389 \h </w:instrText>
        </w:r>
        <w:r w:rsidR="000B15B3">
          <w:fldChar w:fldCharType="separate"/>
        </w:r>
        <w:r w:rsidR="000B15B3">
          <w:t>6</w:t>
        </w:r>
        <w:r w:rsidR="000B15B3">
          <w:fldChar w:fldCharType="end"/>
        </w:r>
      </w:hyperlink>
    </w:p>
    <w:p w:rsidR="006D75C9" w:rsidRDefault="00AE7595">
      <w:pPr>
        <w:pStyle w:val="10"/>
        <w:spacing w:before="240" w:after="120"/>
        <w:rPr>
          <w:rFonts w:ascii="Calibri" w:hAnsi="Calibri" w:cs="黑体"/>
          <w:b w:val="0"/>
          <w:kern w:val="2"/>
          <w:sz w:val="21"/>
          <w:szCs w:val="22"/>
        </w:rPr>
      </w:pPr>
      <w:hyperlink w:anchor="_Toc430166390" w:history="1">
        <w:r w:rsidR="000B15B3">
          <w:rPr>
            <w:rStyle w:val="ae"/>
            <w:rFonts w:hint="eastAsia"/>
          </w:rPr>
          <w:t>第二章</w:t>
        </w:r>
        <w:r w:rsidR="000B15B3">
          <w:rPr>
            <w:rStyle w:val="ae"/>
          </w:rPr>
          <w:t xml:space="preserve">  </w:t>
        </w:r>
        <w:r w:rsidR="000B15B3">
          <w:rPr>
            <w:rStyle w:val="ae"/>
            <w:rFonts w:hint="eastAsia"/>
          </w:rPr>
          <w:t>规划的必要性</w:t>
        </w:r>
        <w:r w:rsidR="000B15B3">
          <w:tab/>
        </w:r>
        <w:r w:rsidR="000B15B3">
          <w:fldChar w:fldCharType="begin"/>
        </w:r>
        <w:r w:rsidR="000B15B3">
          <w:instrText xml:space="preserve"> PAGEREF _Toc430166390 \h </w:instrText>
        </w:r>
        <w:r w:rsidR="000B15B3">
          <w:fldChar w:fldCharType="separate"/>
        </w:r>
        <w:r w:rsidR="000B15B3">
          <w:t>7</w:t>
        </w:r>
        <w:r w:rsidR="000B15B3">
          <w:fldChar w:fldCharType="end"/>
        </w:r>
      </w:hyperlink>
    </w:p>
    <w:p w:rsidR="006D75C9" w:rsidRDefault="00AE7595">
      <w:pPr>
        <w:pStyle w:val="10"/>
        <w:spacing w:before="240" w:after="120"/>
        <w:rPr>
          <w:rFonts w:ascii="Calibri" w:hAnsi="Calibri" w:cs="黑体"/>
          <w:b w:val="0"/>
          <w:kern w:val="2"/>
          <w:sz w:val="21"/>
          <w:szCs w:val="22"/>
        </w:rPr>
      </w:pPr>
      <w:hyperlink w:anchor="_Toc430166391" w:history="1">
        <w:r w:rsidR="000B15B3">
          <w:rPr>
            <w:rStyle w:val="ae"/>
            <w:rFonts w:hint="eastAsia"/>
          </w:rPr>
          <w:t>第三章</w:t>
        </w:r>
        <w:r w:rsidR="000B15B3">
          <w:rPr>
            <w:rStyle w:val="ae"/>
          </w:rPr>
          <w:t xml:space="preserve">  </w:t>
        </w:r>
        <w:r w:rsidR="000B15B3">
          <w:rPr>
            <w:rStyle w:val="ae"/>
            <w:rFonts w:hint="eastAsia"/>
          </w:rPr>
          <w:t>规划的指导思想和目标</w:t>
        </w:r>
        <w:r w:rsidR="000B15B3">
          <w:tab/>
        </w:r>
        <w:r w:rsidR="000B15B3">
          <w:fldChar w:fldCharType="begin"/>
        </w:r>
        <w:r w:rsidR="000B15B3">
          <w:instrText xml:space="preserve"> PAGEREF _Toc430166391 \h </w:instrText>
        </w:r>
        <w:r w:rsidR="000B15B3">
          <w:fldChar w:fldCharType="separate"/>
        </w:r>
        <w:r w:rsidR="000B15B3">
          <w:t>10</w:t>
        </w:r>
        <w:r w:rsidR="000B15B3">
          <w:fldChar w:fldCharType="end"/>
        </w:r>
      </w:hyperlink>
    </w:p>
    <w:p w:rsidR="006D75C9" w:rsidRDefault="00AE7595">
      <w:pPr>
        <w:pStyle w:val="20"/>
        <w:spacing w:after="120"/>
        <w:ind w:left="420"/>
        <w:rPr>
          <w:rFonts w:ascii="Calibri" w:hAnsi="Calibri" w:cs="黑体"/>
          <w:kern w:val="2"/>
          <w:sz w:val="21"/>
          <w:szCs w:val="22"/>
        </w:rPr>
      </w:pPr>
      <w:hyperlink w:anchor="_Toc430166392" w:history="1">
        <w:r w:rsidR="000B15B3">
          <w:rPr>
            <w:rStyle w:val="ae"/>
            <w:rFonts w:hint="eastAsia"/>
          </w:rPr>
          <w:t>第一节</w:t>
        </w:r>
        <w:r w:rsidR="000B15B3">
          <w:rPr>
            <w:rStyle w:val="ae"/>
          </w:rPr>
          <w:t xml:space="preserve">  </w:t>
        </w:r>
        <w:r w:rsidR="000B15B3">
          <w:rPr>
            <w:rStyle w:val="ae"/>
            <w:rFonts w:hint="eastAsia"/>
          </w:rPr>
          <w:t>指导思想</w:t>
        </w:r>
        <w:r w:rsidR="000B15B3">
          <w:tab/>
        </w:r>
        <w:r w:rsidR="000B15B3">
          <w:fldChar w:fldCharType="begin"/>
        </w:r>
        <w:r w:rsidR="000B15B3">
          <w:instrText xml:space="preserve"> PAGEREF _Toc430166392 \h </w:instrText>
        </w:r>
        <w:r w:rsidR="000B15B3">
          <w:fldChar w:fldCharType="separate"/>
        </w:r>
        <w:r w:rsidR="000B15B3">
          <w:t>10</w:t>
        </w:r>
        <w:r w:rsidR="000B15B3">
          <w:fldChar w:fldCharType="end"/>
        </w:r>
      </w:hyperlink>
    </w:p>
    <w:p w:rsidR="006D75C9" w:rsidRDefault="00AE7595">
      <w:pPr>
        <w:pStyle w:val="20"/>
        <w:spacing w:after="120"/>
        <w:ind w:left="420"/>
        <w:rPr>
          <w:rFonts w:ascii="Calibri" w:hAnsi="Calibri" w:cs="黑体"/>
          <w:kern w:val="2"/>
          <w:sz w:val="21"/>
          <w:szCs w:val="22"/>
        </w:rPr>
      </w:pPr>
      <w:hyperlink w:anchor="_Toc430166393" w:history="1">
        <w:r w:rsidR="000B15B3">
          <w:rPr>
            <w:rStyle w:val="ae"/>
            <w:rFonts w:hint="eastAsia"/>
          </w:rPr>
          <w:t>第二节</w:t>
        </w:r>
        <w:r w:rsidR="000B15B3">
          <w:rPr>
            <w:rStyle w:val="ae"/>
          </w:rPr>
          <w:t xml:space="preserve">  </w:t>
        </w:r>
        <w:r w:rsidR="000B15B3">
          <w:rPr>
            <w:rStyle w:val="ae"/>
            <w:rFonts w:hint="eastAsia"/>
          </w:rPr>
          <w:t>规划目标</w:t>
        </w:r>
        <w:r w:rsidR="000B15B3">
          <w:tab/>
        </w:r>
        <w:r w:rsidR="000B15B3">
          <w:fldChar w:fldCharType="begin"/>
        </w:r>
        <w:r w:rsidR="000B15B3">
          <w:instrText xml:space="preserve"> PAGEREF _Toc430166393 \h </w:instrText>
        </w:r>
        <w:r w:rsidR="000B15B3">
          <w:fldChar w:fldCharType="separate"/>
        </w:r>
        <w:r w:rsidR="000B15B3">
          <w:t>10</w:t>
        </w:r>
        <w:r w:rsidR="000B15B3">
          <w:fldChar w:fldCharType="end"/>
        </w:r>
      </w:hyperlink>
    </w:p>
    <w:p w:rsidR="006D75C9" w:rsidRDefault="00AE7595">
      <w:pPr>
        <w:pStyle w:val="10"/>
        <w:spacing w:before="240" w:after="120"/>
        <w:rPr>
          <w:rFonts w:ascii="Calibri" w:hAnsi="Calibri" w:cs="黑体"/>
          <w:b w:val="0"/>
          <w:kern w:val="2"/>
          <w:sz w:val="21"/>
          <w:szCs w:val="22"/>
        </w:rPr>
      </w:pPr>
      <w:hyperlink w:anchor="_Toc430166394" w:history="1">
        <w:r w:rsidR="000B15B3">
          <w:rPr>
            <w:rStyle w:val="ae"/>
            <w:rFonts w:hint="eastAsia"/>
          </w:rPr>
          <w:t>第四章</w:t>
        </w:r>
        <w:r w:rsidR="000B15B3">
          <w:rPr>
            <w:rStyle w:val="ae"/>
          </w:rPr>
          <w:t xml:space="preserve">  </w:t>
        </w:r>
        <w:r w:rsidR="000B15B3">
          <w:rPr>
            <w:rStyle w:val="ae"/>
            <w:rFonts w:hint="eastAsia"/>
          </w:rPr>
          <w:t>功能定位</w:t>
        </w:r>
        <w:r w:rsidR="000B15B3">
          <w:tab/>
        </w:r>
        <w:r w:rsidR="000B15B3">
          <w:fldChar w:fldCharType="begin"/>
        </w:r>
        <w:r w:rsidR="000B15B3">
          <w:instrText xml:space="preserve"> PAGEREF _Toc430166394 \h </w:instrText>
        </w:r>
        <w:r w:rsidR="000B15B3">
          <w:fldChar w:fldCharType="separate"/>
        </w:r>
        <w:r w:rsidR="000B15B3">
          <w:t>11</w:t>
        </w:r>
        <w:r w:rsidR="000B15B3">
          <w:fldChar w:fldCharType="end"/>
        </w:r>
      </w:hyperlink>
    </w:p>
    <w:p w:rsidR="006D75C9" w:rsidRDefault="00AE7595">
      <w:pPr>
        <w:pStyle w:val="20"/>
        <w:spacing w:after="120"/>
        <w:ind w:left="420"/>
        <w:rPr>
          <w:rFonts w:ascii="Calibri" w:hAnsi="Calibri" w:cs="黑体"/>
          <w:kern w:val="2"/>
          <w:sz w:val="21"/>
          <w:szCs w:val="22"/>
        </w:rPr>
      </w:pPr>
      <w:hyperlink w:anchor="_Toc430166395" w:history="1">
        <w:r w:rsidR="000B15B3">
          <w:rPr>
            <w:rStyle w:val="ae"/>
            <w:rFonts w:hint="eastAsia"/>
          </w:rPr>
          <w:t>第一节</w:t>
        </w:r>
        <w:r w:rsidR="000B15B3">
          <w:rPr>
            <w:rStyle w:val="ae"/>
          </w:rPr>
          <w:t xml:space="preserve">  </w:t>
        </w:r>
        <w:r w:rsidR="000B15B3">
          <w:rPr>
            <w:rStyle w:val="ae"/>
            <w:rFonts w:hint="eastAsia"/>
          </w:rPr>
          <w:t>战略定位</w:t>
        </w:r>
        <w:r w:rsidR="000B15B3">
          <w:tab/>
        </w:r>
        <w:r w:rsidR="000B15B3">
          <w:fldChar w:fldCharType="begin"/>
        </w:r>
        <w:r w:rsidR="000B15B3">
          <w:instrText xml:space="preserve"> PAGEREF _Toc430166395 \h </w:instrText>
        </w:r>
        <w:r w:rsidR="000B15B3">
          <w:fldChar w:fldCharType="separate"/>
        </w:r>
        <w:r w:rsidR="000B15B3">
          <w:t>11</w:t>
        </w:r>
        <w:r w:rsidR="000B15B3">
          <w:fldChar w:fldCharType="end"/>
        </w:r>
      </w:hyperlink>
    </w:p>
    <w:p w:rsidR="006D75C9" w:rsidRDefault="00AE7595">
      <w:pPr>
        <w:pStyle w:val="20"/>
        <w:spacing w:after="120"/>
        <w:ind w:left="420"/>
        <w:rPr>
          <w:rFonts w:ascii="Calibri" w:hAnsi="Calibri" w:cs="黑体"/>
          <w:kern w:val="2"/>
          <w:sz w:val="21"/>
          <w:szCs w:val="22"/>
        </w:rPr>
      </w:pPr>
      <w:hyperlink w:anchor="_Toc430166396" w:history="1">
        <w:r w:rsidR="000B15B3">
          <w:rPr>
            <w:rStyle w:val="ae"/>
            <w:rFonts w:hint="eastAsia"/>
          </w:rPr>
          <w:t>第二节</w:t>
        </w:r>
        <w:r w:rsidR="000B15B3">
          <w:rPr>
            <w:rStyle w:val="ae"/>
          </w:rPr>
          <w:t xml:space="preserve">  </w:t>
        </w:r>
        <w:r w:rsidR="000B15B3">
          <w:rPr>
            <w:rStyle w:val="ae"/>
            <w:rFonts w:hint="eastAsia"/>
          </w:rPr>
          <w:t>市场需求</w:t>
        </w:r>
        <w:r w:rsidR="000B15B3">
          <w:tab/>
        </w:r>
        <w:r w:rsidR="000B15B3">
          <w:fldChar w:fldCharType="begin"/>
        </w:r>
        <w:r w:rsidR="000B15B3">
          <w:instrText xml:space="preserve"> PAGEREF _Toc430166396 \h </w:instrText>
        </w:r>
        <w:r w:rsidR="000B15B3">
          <w:fldChar w:fldCharType="separate"/>
        </w:r>
        <w:r w:rsidR="000B15B3">
          <w:t>12</w:t>
        </w:r>
        <w:r w:rsidR="000B15B3">
          <w:fldChar w:fldCharType="end"/>
        </w:r>
      </w:hyperlink>
    </w:p>
    <w:p w:rsidR="006D75C9" w:rsidRDefault="00AE7595">
      <w:pPr>
        <w:pStyle w:val="20"/>
        <w:spacing w:after="120"/>
        <w:ind w:left="420"/>
        <w:rPr>
          <w:rFonts w:ascii="Calibri" w:hAnsi="Calibri" w:cs="黑体"/>
          <w:kern w:val="2"/>
          <w:sz w:val="21"/>
          <w:szCs w:val="22"/>
        </w:rPr>
      </w:pPr>
      <w:hyperlink w:anchor="_Toc430166397" w:history="1">
        <w:r w:rsidR="000B15B3">
          <w:rPr>
            <w:rStyle w:val="ae"/>
            <w:rFonts w:hint="eastAsia"/>
          </w:rPr>
          <w:t>第三节</w:t>
        </w:r>
        <w:r w:rsidR="000B15B3">
          <w:rPr>
            <w:rStyle w:val="ae"/>
          </w:rPr>
          <w:t xml:space="preserve">  </w:t>
        </w:r>
        <w:r w:rsidR="000B15B3">
          <w:rPr>
            <w:rStyle w:val="ae"/>
            <w:rFonts w:hint="eastAsia"/>
          </w:rPr>
          <w:t>枢纽功能</w:t>
        </w:r>
        <w:r w:rsidR="000B15B3">
          <w:tab/>
        </w:r>
        <w:r w:rsidR="000B15B3">
          <w:fldChar w:fldCharType="begin"/>
        </w:r>
        <w:r w:rsidR="000B15B3">
          <w:instrText xml:space="preserve"> PAGEREF _Toc430166397 \h </w:instrText>
        </w:r>
        <w:r w:rsidR="000B15B3">
          <w:fldChar w:fldCharType="separate"/>
        </w:r>
        <w:r w:rsidR="000B15B3">
          <w:t>15</w:t>
        </w:r>
        <w:r w:rsidR="000B15B3">
          <w:fldChar w:fldCharType="end"/>
        </w:r>
      </w:hyperlink>
    </w:p>
    <w:p w:rsidR="006D75C9" w:rsidRDefault="00AE7595">
      <w:pPr>
        <w:pStyle w:val="10"/>
        <w:spacing w:before="240" w:after="120"/>
        <w:rPr>
          <w:rFonts w:ascii="Calibri" w:hAnsi="Calibri" w:cs="黑体"/>
          <w:b w:val="0"/>
          <w:kern w:val="2"/>
          <w:sz w:val="21"/>
          <w:szCs w:val="22"/>
        </w:rPr>
      </w:pPr>
      <w:hyperlink w:anchor="_Toc430166398" w:history="1">
        <w:r w:rsidR="000B15B3">
          <w:rPr>
            <w:rStyle w:val="ae"/>
            <w:rFonts w:hint="eastAsia"/>
          </w:rPr>
          <w:t>第五章</w:t>
        </w:r>
        <w:r w:rsidR="000B15B3">
          <w:rPr>
            <w:rStyle w:val="ae"/>
          </w:rPr>
          <w:t xml:space="preserve">  </w:t>
        </w:r>
        <w:r w:rsidR="000B15B3">
          <w:rPr>
            <w:rStyle w:val="ae"/>
            <w:rFonts w:hint="eastAsia"/>
          </w:rPr>
          <w:t>布局规划</w:t>
        </w:r>
        <w:r w:rsidR="000B15B3">
          <w:tab/>
        </w:r>
        <w:r w:rsidR="000B15B3">
          <w:fldChar w:fldCharType="begin"/>
        </w:r>
        <w:r w:rsidR="000B15B3">
          <w:instrText xml:space="preserve"> PAGEREF _Toc430166398 \h </w:instrText>
        </w:r>
        <w:r w:rsidR="000B15B3">
          <w:fldChar w:fldCharType="separate"/>
        </w:r>
        <w:r w:rsidR="000B15B3">
          <w:t>18</w:t>
        </w:r>
        <w:r w:rsidR="000B15B3">
          <w:fldChar w:fldCharType="end"/>
        </w:r>
      </w:hyperlink>
    </w:p>
    <w:p w:rsidR="006D75C9" w:rsidRDefault="00AE7595">
      <w:pPr>
        <w:pStyle w:val="20"/>
        <w:spacing w:after="120"/>
        <w:ind w:left="420"/>
        <w:rPr>
          <w:rFonts w:ascii="Calibri" w:hAnsi="Calibri" w:cs="黑体"/>
          <w:kern w:val="2"/>
          <w:sz w:val="21"/>
          <w:szCs w:val="22"/>
        </w:rPr>
      </w:pPr>
      <w:hyperlink w:anchor="_Toc430166399" w:history="1">
        <w:r w:rsidR="000B15B3">
          <w:rPr>
            <w:rStyle w:val="ae"/>
            <w:rFonts w:hint="eastAsia"/>
          </w:rPr>
          <w:t>第一节</w:t>
        </w:r>
        <w:r w:rsidR="000B15B3">
          <w:rPr>
            <w:rStyle w:val="ae"/>
          </w:rPr>
          <w:t xml:space="preserve"> </w:t>
        </w:r>
        <w:r w:rsidR="000B15B3">
          <w:rPr>
            <w:rStyle w:val="ae"/>
            <w:rFonts w:hint="eastAsia"/>
          </w:rPr>
          <w:t>需求预测</w:t>
        </w:r>
        <w:r w:rsidR="000B15B3">
          <w:tab/>
        </w:r>
        <w:r w:rsidR="000B15B3">
          <w:fldChar w:fldCharType="begin"/>
        </w:r>
        <w:r w:rsidR="000B15B3">
          <w:instrText xml:space="preserve"> PAGEREF _Toc430166399 \h </w:instrText>
        </w:r>
        <w:r w:rsidR="000B15B3">
          <w:fldChar w:fldCharType="separate"/>
        </w:r>
        <w:r w:rsidR="000B15B3">
          <w:t>18</w:t>
        </w:r>
        <w:r w:rsidR="000B15B3">
          <w:fldChar w:fldCharType="end"/>
        </w:r>
      </w:hyperlink>
    </w:p>
    <w:p w:rsidR="006D75C9" w:rsidRDefault="00AE7595">
      <w:pPr>
        <w:pStyle w:val="20"/>
        <w:spacing w:after="120"/>
        <w:ind w:left="420"/>
        <w:rPr>
          <w:rFonts w:ascii="Calibri" w:hAnsi="Calibri" w:cs="黑体"/>
          <w:kern w:val="2"/>
          <w:sz w:val="21"/>
          <w:szCs w:val="22"/>
        </w:rPr>
      </w:pPr>
      <w:hyperlink w:anchor="_Toc430166400" w:history="1">
        <w:r w:rsidR="000B15B3">
          <w:rPr>
            <w:rStyle w:val="ae"/>
            <w:rFonts w:hint="eastAsia"/>
          </w:rPr>
          <w:t>第二节</w:t>
        </w:r>
        <w:r w:rsidR="000B15B3">
          <w:rPr>
            <w:rStyle w:val="ae"/>
          </w:rPr>
          <w:t xml:space="preserve">  </w:t>
        </w:r>
        <w:r w:rsidR="000B15B3">
          <w:rPr>
            <w:rStyle w:val="ae"/>
            <w:rFonts w:hint="eastAsia"/>
          </w:rPr>
          <w:t>客运枢纽站场布局方案</w:t>
        </w:r>
        <w:r w:rsidR="000B15B3">
          <w:tab/>
        </w:r>
        <w:r w:rsidR="000B15B3">
          <w:fldChar w:fldCharType="begin"/>
        </w:r>
        <w:r w:rsidR="000B15B3">
          <w:instrText xml:space="preserve"> PAGEREF _Toc430166400 \h </w:instrText>
        </w:r>
        <w:r w:rsidR="000B15B3">
          <w:fldChar w:fldCharType="separate"/>
        </w:r>
        <w:r w:rsidR="000B15B3">
          <w:t>19</w:t>
        </w:r>
        <w:r w:rsidR="000B15B3">
          <w:fldChar w:fldCharType="end"/>
        </w:r>
      </w:hyperlink>
    </w:p>
    <w:p w:rsidR="006D75C9" w:rsidRDefault="00AE7595">
      <w:pPr>
        <w:pStyle w:val="20"/>
        <w:spacing w:after="120"/>
        <w:ind w:left="420"/>
        <w:rPr>
          <w:rFonts w:ascii="Calibri" w:hAnsi="Calibri" w:cs="黑体"/>
          <w:kern w:val="2"/>
          <w:sz w:val="21"/>
          <w:szCs w:val="22"/>
        </w:rPr>
      </w:pPr>
      <w:hyperlink w:anchor="_Toc430166401" w:history="1">
        <w:r w:rsidR="000B15B3">
          <w:rPr>
            <w:rStyle w:val="ae"/>
            <w:rFonts w:hint="eastAsia"/>
          </w:rPr>
          <w:t>第三节</w:t>
        </w:r>
        <w:r w:rsidR="000B15B3">
          <w:rPr>
            <w:rStyle w:val="ae"/>
          </w:rPr>
          <w:t xml:space="preserve">  </w:t>
        </w:r>
        <w:r w:rsidR="000B15B3">
          <w:rPr>
            <w:rStyle w:val="ae"/>
            <w:rFonts w:hint="eastAsia"/>
          </w:rPr>
          <w:t>货运枢纽站场布局方案</w:t>
        </w:r>
        <w:r w:rsidR="000B15B3">
          <w:tab/>
        </w:r>
        <w:r w:rsidR="000B15B3">
          <w:fldChar w:fldCharType="begin"/>
        </w:r>
        <w:r w:rsidR="000B15B3">
          <w:instrText xml:space="preserve"> PAGEREF _Toc430166401 \h </w:instrText>
        </w:r>
        <w:r w:rsidR="000B15B3">
          <w:fldChar w:fldCharType="separate"/>
        </w:r>
        <w:r w:rsidR="000B15B3">
          <w:t>25</w:t>
        </w:r>
        <w:r w:rsidR="000B15B3">
          <w:fldChar w:fldCharType="end"/>
        </w:r>
      </w:hyperlink>
    </w:p>
    <w:p w:rsidR="006D75C9" w:rsidRDefault="00AE7595">
      <w:pPr>
        <w:pStyle w:val="10"/>
        <w:spacing w:before="240" w:after="120"/>
        <w:rPr>
          <w:rFonts w:ascii="Calibri" w:hAnsi="Calibri" w:cs="黑体"/>
          <w:b w:val="0"/>
          <w:kern w:val="2"/>
          <w:sz w:val="21"/>
          <w:szCs w:val="22"/>
        </w:rPr>
      </w:pPr>
      <w:hyperlink w:anchor="_Toc430166402" w:history="1">
        <w:r w:rsidR="000B15B3">
          <w:rPr>
            <w:rStyle w:val="ae"/>
            <w:rFonts w:hint="eastAsia"/>
          </w:rPr>
          <w:t>第六章</w:t>
        </w:r>
        <w:r w:rsidR="000B15B3">
          <w:rPr>
            <w:rStyle w:val="ae"/>
          </w:rPr>
          <w:t xml:space="preserve">  </w:t>
        </w:r>
        <w:r w:rsidR="000B15B3">
          <w:rPr>
            <w:rStyle w:val="ae"/>
            <w:rFonts w:hint="eastAsia"/>
          </w:rPr>
          <w:t>信息系统规划</w:t>
        </w:r>
        <w:r w:rsidR="000B15B3">
          <w:tab/>
        </w:r>
        <w:r w:rsidR="000B15B3">
          <w:fldChar w:fldCharType="begin"/>
        </w:r>
        <w:r w:rsidR="000B15B3">
          <w:instrText xml:space="preserve"> PAGEREF _Toc430166402 \h </w:instrText>
        </w:r>
        <w:r w:rsidR="000B15B3">
          <w:fldChar w:fldCharType="separate"/>
        </w:r>
        <w:r w:rsidR="000B15B3">
          <w:t>28</w:t>
        </w:r>
        <w:r w:rsidR="000B15B3">
          <w:fldChar w:fldCharType="end"/>
        </w:r>
      </w:hyperlink>
    </w:p>
    <w:p w:rsidR="006D75C9" w:rsidRDefault="00AE7595">
      <w:pPr>
        <w:pStyle w:val="20"/>
        <w:spacing w:after="120"/>
        <w:ind w:left="420"/>
        <w:rPr>
          <w:rFonts w:ascii="Calibri" w:hAnsi="Calibri" w:cs="黑体"/>
          <w:kern w:val="2"/>
          <w:sz w:val="21"/>
          <w:szCs w:val="22"/>
        </w:rPr>
      </w:pPr>
      <w:hyperlink w:anchor="_Toc430166403" w:history="1">
        <w:r w:rsidR="000B15B3">
          <w:rPr>
            <w:rStyle w:val="ae"/>
            <w:rFonts w:hint="eastAsia"/>
          </w:rPr>
          <w:t>第一节</w:t>
        </w:r>
        <w:r w:rsidR="000B15B3">
          <w:rPr>
            <w:rStyle w:val="ae"/>
          </w:rPr>
          <w:t xml:space="preserve">  </w:t>
        </w:r>
        <w:r w:rsidR="000B15B3">
          <w:rPr>
            <w:rStyle w:val="ae"/>
            <w:rFonts w:hint="eastAsia"/>
          </w:rPr>
          <w:t>客运枢纽信息系统规划设想</w:t>
        </w:r>
        <w:r w:rsidR="000B15B3">
          <w:tab/>
        </w:r>
        <w:r w:rsidR="000B15B3">
          <w:fldChar w:fldCharType="begin"/>
        </w:r>
        <w:r w:rsidR="000B15B3">
          <w:instrText xml:space="preserve"> PAGEREF _Toc430166403 \h </w:instrText>
        </w:r>
        <w:r w:rsidR="000B15B3">
          <w:fldChar w:fldCharType="separate"/>
        </w:r>
        <w:r w:rsidR="000B15B3">
          <w:t>30</w:t>
        </w:r>
        <w:r w:rsidR="000B15B3">
          <w:fldChar w:fldCharType="end"/>
        </w:r>
      </w:hyperlink>
    </w:p>
    <w:p w:rsidR="006D75C9" w:rsidRDefault="00AE7595">
      <w:pPr>
        <w:pStyle w:val="20"/>
        <w:spacing w:after="120"/>
        <w:ind w:left="420"/>
        <w:rPr>
          <w:rFonts w:ascii="Calibri" w:hAnsi="Calibri" w:cs="黑体"/>
          <w:kern w:val="2"/>
          <w:sz w:val="21"/>
          <w:szCs w:val="22"/>
        </w:rPr>
      </w:pPr>
      <w:hyperlink w:anchor="_Toc430166404" w:history="1">
        <w:r w:rsidR="000B15B3">
          <w:rPr>
            <w:rStyle w:val="ae"/>
            <w:rFonts w:hint="eastAsia"/>
          </w:rPr>
          <w:t>第二节</w:t>
        </w:r>
        <w:r w:rsidR="000B15B3">
          <w:rPr>
            <w:rStyle w:val="ae"/>
          </w:rPr>
          <w:t xml:space="preserve">  </w:t>
        </w:r>
        <w:r w:rsidR="000B15B3">
          <w:rPr>
            <w:rStyle w:val="ae"/>
            <w:rFonts w:hint="eastAsia"/>
          </w:rPr>
          <w:t>货运枢纽信息系统规划设想</w:t>
        </w:r>
        <w:r w:rsidR="000B15B3">
          <w:tab/>
        </w:r>
        <w:r w:rsidR="000B15B3">
          <w:fldChar w:fldCharType="begin"/>
        </w:r>
        <w:r w:rsidR="000B15B3">
          <w:instrText xml:space="preserve"> PAGEREF _Toc430166404 \h </w:instrText>
        </w:r>
        <w:r w:rsidR="000B15B3">
          <w:fldChar w:fldCharType="separate"/>
        </w:r>
        <w:r w:rsidR="000B15B3">
          <w:t>32</w:t>
        </w:r>
        <w:r w:rsidR="000B15B3">
          <w:fldChar w:fldCharType="end"/>
        </w:r>
      </w:hyperlink>
    </w:p>
    <w:p w:rsidR="006D75C9" w:rsidRDefault="00AE7595">
      <w:pPr>
        <w:pStyle w:val="10"/>
        <w:spacing w:before="240" w:after="120"/>
        <w:rPr>
          <w:rFonts w:ascii="Calibri" w:hAnsi="Calibri" w:cs="黑体"/>
          <w:b w:val="0"/>
          <w:kern w:val="2"/>
          <w:sz w:val="21"/>
          <w:szCs w:val="22"/>
        </w:rPr>
      </w:pPr>
      <w:hyperlink w:anchor="_Toc430166405" w:history="1">
        <w:r w:rsidR="000B15B3">
          <w:rPr>
            <w:rStyle w:val="ae"/>
            <w:rFonts w:hint="eastAsia"/>
          </w:rPr>
          <w:t>第七章</w:t>
        </w:r>
        <w:r w:rsidR="000B15B3">
          <w:rPr>
            <w:rStyle w:val="ae"/>
          </w:rPr>
          <w:t xml:space="preserve">  </w:t>
        </w:r>
        <w:r w:rsidR="000B15B3">
          <w:rPr>
            <w:rStyle w:val="ae"/>
            <w:rFonts w:hint="eastAsia"/>
          </w:rPr>
          <w:t>实施方案和近期建设重点</w:t>
        </w:r>
        <w:r w:rsidR="000B15B3">
          <w:tab/>
        </w:r>
        <w:r w:rsidR="000B15B3">
          <w:fldChar w:fldCharType="begin"/>
        </w:r>
        <w:r w:rsidR="000B15B3">
          <w:instrText xml:space="preserve"> PAGEREF _Toc430166405 \h </w:instrText>
        </w:r>
        <w:r w:rsidR="000B15B3">
          <w:fldChar w:fldCharType="separate"/>
        </w:r>
        <w:r w:rsidR="000B15B3">
          <w:t>34</w:t>
        </w:r>
        <w:r w:rsidR="000B15B3">
          <w:fldChar w:fldCharType="end"/>
        </w:r>
      </w:hyperlink>
    </w:p>
    <w:p w:rsidR="006D75C9" w:rsidRDefault="00AE7595">
      <w:pPr>
        <w:pStyle w:val="20"/>
        <w:spacing w:after="120"/>
        <w:ind w:left="420"/>
        <w:rPr>
          <w:rFonts w:ascii="Calibri" w:hAnsi="Calibri" w:cs="黑体"/>
          <w:kern w:val="2"/>
          <w:sz w:val="21"/>
          <w:szCs w:val="22"/>
        </w:rPr>
      </w:pPr>
      <w:hyperlink w:anchor="_Toc430166406" w:history="1">
        <w:r w:rsidR="000B15B3">
          <w:rPr>
            <w:rStyle w:val="ae"/>
            <w:rFonts w:hint="eastAsia"/>
          </w:rPr>
          <w:t>第一节</w:t>
        </w:r>
        <w:r w:rsidR="000B15B3">
          <w:rPr>
            <w:rStyle w:val="ae"/>
          </w:rPr>
          <w:t xml:space="preserve">  </w:t>
        </w:r>
        <w:r w:rsidR="000B15B3">
          <w:rPr>
            <w:rStyle w:val="ae"/>
            <w:rFonts w:hint="eastAsia"/>
          </w:rPr>
          <w:t>实施方案</w:t>
        </w:r>
        <w:r w:rsidR="000B15B3">
          <w:tab/>
        </w:r>
        <w:r w:rsidR="000B15B3">
          <w:fldChar w:fldCharType="begin"/>
        </w:r>
        <w:r w:rsidR="000B15B3">
          <w:instrText xml:space="preserve"> PAGEREF _Toc430166406 \h </w:instrText>
        </w:r>
        <w:r w:rsidR="000B15B3">
          <w:fldChar w:fldCharType="separate"/>
        </w:r>
        <w:r w:rsidR="000B15B3">
          <w:t>34</w:t>
        </w:r>
        <w:r w:rsidR="000B15B3">
          <w:fldChar w:fldCharType="end"/>
        </w:r>
      </w:hyperlink>
    </w:p>
    <w:p w:rsidR="006D75C9" w:rsidRDefault="00AE7595">
      <w:pPr>
        <w:pStyle w:val="20"/>
        <w:spacing w:after="120"/>
        <w:ind w:left="420"/>
        <w:rPr>
          <w:rFonts w:ascii="Calibri" w:hAnsi="Calibri" w:cs="黑体"/>
          <w:kern w:val="2"/>
          <w:sz w:val="21"/>
          <w:szCs w:val="22"/>
        </w:rPr>
      </w:pPr>
      <w:hyperlink w:anchor="_Toc430166407" w:history="1">
        <w:r w:rsidR="000B15B3">
          <w:rPr>
            <w:rStyle w:val="ae"/>
            <w:rFonts w:hint="eastAsia"/>
          </w:rPr>
          <w:t>第二节</w:t>
        </w:r>
        <w:r w:rsidR="000B15B3">
          <w:rPr>
            <w:rStyle w:val="ae"/>
          </w:rPr>
          <w:t xml:space="preserve">  </w:t>
        </w:r>
        <w:r w:rsidR="000B15B3">
          <w:rPr>
            <w:rStyle w:val="ae"/>
            <w:rFonts w:hint="eastAsia"/>
          </w:rPr>
          <w:t>近期建设重点项目</w:t>
        </w:r>
        <w:r w:rsidR="000B15B3">
          <w:tab/>
        </w:r>
        <w:r w:rsidR="000B15B3">
          <w:fldChar w:fldCharType="begin"/>
        </w:r>
        <w:r w:rsidR="000B15B3">
          <w:instrText xml:space="preserve"> PAGEREF _Toc430166407 \h </w:instrText>
        </w:r>
        <w:r w:rsidR="000B15B3">
          <w:fldChar w:fldCharType="separate"/>
        </w:r>
        <w:r w:rsidR="000B15B3">
          <w:t>35</w:t>
        </w:r>
        <w:r w:rsidR="000B15B3">
          <w:fldChar w:fldCharType="end"/>
        </w:r>
      </w:hyperlink>
    </w:p>
    <w:p w:rsidR="006D75C9" w:rsidRDefault="00AE7595">
      <w:pPr>
        <w:pStyle w:val="10"/>
        <w:spacing w:before="240" w:after="120"/>
        <w:rPr>
          <w:rFonts w:ascii="Calibri" w:hAnsi="Calibri" w:cs="黑体"/>
          <w:b w:val="0"/>
          <w:kern w:val="2"/>
          <w:sz w:val="21"/>
          <w:szCs w:val="22"/>
        </w:rPr>
      </w:pPr>
      <w:hyperlink w:anchor="_Toc430166408" w:history="1">
        <w:r w:rsidR="000B15B3">
          <w:rPr>
            <w:rStyle w:val="ae"/>
            <w:rFonts w:hint="eastAsia"/>
          </w:rPr>
          <w:t>第八章</w:t>
        </w:r>
        <w:r w:rsidR="000B15B3">
          <w:rPr>
            <w:rStyle w:val="ae"/>
          </w:rPr>
          <w:t xml:space="preserve">  </w:t>
        </w:r>
        <w:r w:rsidR="000B15B3">
          <w:rPr>
            <w:rStyle w:val="ae"/>
            <w:rFonts w:hint="eastAsia"/>
          </w:rPr>
          <w:t>政策与措施</w:t>
        </w:r>
        <w:r w:rsidR="000B15B3">
          <w:tab/>
        </w:r>
        <w:r w:rsidR="000B15B3">
          <w:fldChar w:fldCharType="begin"/>
        </w:r>
        <w:r w:rsidR="000B15B3">
          <w:instrText xml:space="preserve"> PAGEREF _Toc430166408 \h </w:instrText>
        </w:r>
        <w:r w:rsidR="000B15B3">
          <w:fldChar w:fldCharType="separate"/>
        </w:r>
        <w:r w:rsidR="000B15B3">
          <w:t>36</w:t>
        </w:r>
        <w:r w:rsidR="000B15B3">
          <w:fldChar w:fldCharType="end"/>
        </w:r>
      </w:hyperlink>
    </w:p>
    <w:p w:rsidR="006D75C9" w:rsidRDefault="000B15B3">
      <w:pPr>
        <w:pStyle w:val="10"/>
        <w:tabs>
          <w:tab w:val="left" w:pos="1260"/>
        </w:tabs>
        <w:spacing w:before="240" w:after="120"/>
      </w:pPr>
      <w:r>
        <w:fldChar w:fldCharType="end"/>
      </w:r>
    </w:p>
    <w:p w:rsidR="006D75C9" w:rsidRDefault="006D75C9">
      <w:pPr>
        <w:pStyle w:val="11"/>
        <w:sectPr w:rsidR="006D75C9">
          <w:headerReference w:type="default" r:id="rId9"/>
          <w:footerReference w:type="even" r:id="rId10"/>
          <w:footerReference w:type="default" r:id="rId11"/>
          <w:pgSz w:w="11906" w:h="16838"/>
          <w:pgMar w:top="1440" w:right="1418" w:bottom="1440" w:left="1985" w:header="851" w:footer="992" w:gutter="0"/>
          <w:cols w:space="425"/>
          <w:docGrid w:linePitch="312" w:charSpace="640"/>
        </w:sectPr>
      </w:pPr>
    </w:p>
    <w:p w:rsidR="006D75C9" w:rsidRDefault="006D75C9">
      <w:pPr>
        <w:pStyle w:val="11"/>
      </w:pPr>
    </w:p>
    <w:p w:rsidR="006D75C9" w:rsidRDefault="000B15B3">
      <w:pPr>
        <w:pStyle w:val="1"/>
      </w:pPr>
      <w:bookmarkStart w:id="0" w:name="_Toc430166385"/>
      <w:r>
        <w:rPr>
          <w:rFonts w:hint="eastAsia"/>
        </w:rPr>
        <w:t>第一章</w:t>
      </w:r>
      <w:r>
        <w:rPr>
          <w:rFonts w:hint="eastAsia"/>
        </w:rPr>
        <w:t xml:space="preserve">  </w:t>
      </w:r>
      <w:r>
        <w:rPr>
          <w:rFonts w:hint="eastAsia"/>
        </w:rPr>
        <w:t>规划背景</w:t>
      </w:r>
      <w:bookmarkEnd w:id="0"/>
    </w:p>
    <w:p w:rsidR="006D75C9" w:rsidRDefault="000B15B3">
      <w:pPr>
        <w:pStyle w:val="2"/>
        <w:numPr>
          <w:ilvl w:val="1"/>
          <w:numId w:val="0"/>
        </w:numPr>
        <w:spacing w:beforeLines="200" w:before="480" w:afterLines="150" w:after="360"/>
        <w:jc w:val="center"/>
      </w:pPr>
      <w:bookmarkStart w:id="1" w:name="_Toc430166386"/>
      <w:r>
        <w:rPr>
          <w:rFonts w:hint="eastAsia"/>
        </w:rPr>
        <w:t>第一节</w:t>
      </w:r>
      <w:r>
        <w:rPr>
          <w:rFonts w:hint="eastAsia"/>
        </w:rPr>
        <w:t xml:space="preserve">  </w:t>
      </w:r>
      <w:r>
        <w:rPr>
          <w:rFonts w:hint="eastAsia"/>
        </w:rPr>
        <w:t>规划背景</w:t>
      </w:r>
      <w:bookmarkEnd w:id="1"/>
    </w:p>
    <w:p w:rsidR="006D75C9" w:rsidRDefault="000B15B3">
      <w:pPr>
        <w:pStyle w:val="11"/>
      </w:pPr>
      <w:r>
        <w:rPr>
          <w:rFonts w:hint="eastAsia"/>
        </w:rPr>
        <w:t>目前，我国已进入全面建设小康社会的关键时期。为发展和完善公路交通运输系统，加快推进社会主义现代化，交通部以国务院批准实施的《国家高速公路网规划》为先决条件，在总结经验、分析需求的基础上，制定了由全国</w:t>
      </w:r>
      <w:r>
        <w:rPr>
          <w:rFonts w:hint="eastAsia"/>
        </w:rPr>
        <w:t>179</w:t>
      </w:r>
      <w:r>
        <w:rPr>
          <w:rFonts w:hint="eastAsia"/>
        </w:rPr>
        <w:t>个城市（含</w:t>
      </w:r>
      <w:r>
        <w:rPr>
          <w:rFonts w:hint="eastAsia"/>
        </w:rPr>
        <w:t>12</w:t>
      </w:r>
      <w:r>
        <w:rPr>
          <w:rFonts w:hint="eastAsia"/>
        </w:rPr>
        <w:t>个复合型枢纽）组成的《国家公路运输枢纽布局规划》，梅州是其中枢纽城市之一。</w:t>
      </w:r>
    </w:p>
    <w:p w:rsidR="006D75C9" w:rsidRDefault="000B15B3">
      <w:pPr>
        <w:pStyle w:val="11"/>
      </w:pPr>
      <w:r>
        <w:rPr>
          <w:rFonts w:hint="eastAsia"/>
        </w:rPr>
        <w:t>国家公路运输枢纽规划结合我国当前公路运输枢纽发展的最新理念，提出了国家公路运输枢纽的概念，期望通过枢纽的规划建设，促进公路运输枢纽与港口、铁路站场、机场、轨道枢纽、城市公交枢纽等的有机衔接，发挥各种运输方式的比较优势和组合效率，从而完善综合运输体系，实现客运“零距离换乘”和货运“无缝衔接”。通过构建国家层次上的公路运输枢纽服务体系，使其与国家高速公路网共同组成最高层次的公路交通运输网络，改变公路运输的落后面貌，并适应国家未来全面建设小康社会和现代化建设的需要。</w:t>
      </w:r>
    </w:p>
    <w:p w:rsidR="006D75C9" w:rsidRDefault="000B15B3">
      <w:pPr>
        <w:pStyle w:val="11"/>
        <w:rPr>
          <w:color w:val="000000"/>
        </w:rPr>
      </w:pPr>
      <w:r>
        <w:rPr>
          <w:rFonts w:hint="eastAsia"/>
        </w:rPr>
        <w:t>梅州地处粤闽赣三省交界处，为山区城市，经济基础较为薄弱。多年来，国家战略实施、广东省发展规划及政策落实为梅州的发展创造了有利条件。“十二五”期间，国家出台《海峡西岸经济区发展规划》、《赣闽粤原中央苏区振兴发展规划》，梅州成为海西经济区的重要组成部分，同时也是原中央苏区；广东省</w:t>
      </w:r>
      <w:r>
        <w:rPr>
          <w:rFonts w:hint="eastAsia"/>
        </w:rPr>
        <w:lastRenderedPageBreak/>
        <w:t>相继出台《粤北地区经济社会发展规划纲要（</w:t>
      </w:r>
      <w:r>
        <w:rPr>
          <w:rFonts w:hint="eastAsia"/>
        </w:rPr>
        <w:t>2011-2015</w:t>
      </w:r>
      <w:r>
        <w:rPr>
          <w:rFonts w:hint="eastAsia"/>
        </w:rPr>
        <w:t>）》、《关于进一步促进粤东西北地区振兴发展的决定》，继续实施扩大内需、扶贫发展“双到”等扶持山区加快发展的政策措施。</w:t>
      </w:r>
      <w:r>
        <w:rPr>
          <w:rFonts w:hint="eastAsia"/>
        </w:rPr>
        <w:t>2014</w:t>
      </w:r>
      <w:r>
        <w:rPr>
          <w:rFonts w:hint="eastAsia"/>
        </w:rPr>
        <w:t>年</w:t>
      </w:r>
      <w:r>
        <w:rPr>
          <w:rFonts w:hint="eastAsia"/>
        </w:rPr>
        <w:t>9</w:t>
      </w:r>
      <w:r>
        <w:rPr>
          <w:rFonts w:hint="eastAsia"/>
        </w:rPr>
        <w:t>月，省委书记胡春华到梅州调研时强调要努力把梅州建设成为潮汕平原北上开拓腹地的枢纽。为全面建设小康社会，推动梅州市经济实现跨越式发展，梅州市“十二五”时期实施新型特色工业战略、休闲旅游优先战略、精致高效农业战略、“大城区”战略、“大民生”战略，</w:t>
      </w:r>
      <w:r>
        <w:rPr>
          <w:rFonts w:hint="eastAsia"/>
        </w:rPr>
        <w:t>2012</w:t>
      </w:r>
      <w:r>
        <w:rPr>
          <w:rFonts w:hint="eastAsia"/>
        </w:rPr>
        <w:t>年提出了创建广东梅州文化旅游特色区，</w:t>
      </w:r>
      <w:r>
        <w:rPr>
          <w:rFonts w:hint="eastAsia"/>
        </w:rPr>
        <w:t>2015</w:t>
      </w:r>
      <w:r>
        <w:rPr>
          <w:rFonts w:hint="eastAsia"/>
        </w:rPr>
        <w:t>年进一步提出要努力建设粤东北交通枢纽城市，打造“丰华兴梅产业集聚带”，将其建设成为广东原中央苏区绿色发展实验区。为支持梅州市城市和经济的跨越式发展，梅州市</w:t>
      </w:r>
      <w:r>
        <w:rPr>
          <w:rFonts w:hint="eastAsia"/>
          <w:color w:val="000000"/>
        </w:rPr>
        <w:t>交通运输业的发展要注重交通运输业向现代服务业的转变，注重主要依靠单一运输方式的发展向综合运输体系发展的转变。</w:t>
      </w:r>
    </w:p>
    <w:p w:rsidR="006D75C9" w:rsidRDefault="000B15B3">
      <w:pPr>
        <w:pStyle w:val="11"/>
      </w:pPr>
      <w:r>
        <w:rPr>
          <w:rFonts w:hint="eastAsia"/>
        </w:rPr>
        <w:t>目前，梅州市已建成长（春）深（圳）国家高速公路梅（州）至河（源）段、蕉岭广福至梅县城东段，汕（头）昆（明）国家高速梅（州）揭（阳）段、兴宁至畲江段，梅州西环高速公路，梅（州）龙（岩）高速公路等，高速公路的建成通车有力推动了梅州市经济的发展。但是，梅州公路站场设施总体水平仍然较低，不能完全适应社会经济发展和人民生活水平提高的需要，突出表现在以下几方面：</w:t>
      </w:r>
    </w:p>
    <w:p w:rsidR="006D75C9" w:rsidRDefault="000B15B3">
      <w:pPr>
        <w:pStyle w:val="3"/>
      </w:pPr>
      <w:r>
        <w:rPr>
          <w:rFonts w:hint="eastAsia"/>
        </w:rPr>
        <w:t>站场规模小、设施陈旧，不能满足客货运市场发展要求</w:t>
      </w:r>
    </w:p>
    <w:p w:rsidR="006D75C9" w:rsidRDefault="000B15B3">
      <w:pPr>
        <w:pStyle w:val="11"/>
      </w:pPr>
      <w:r>
        <w:rPr>
          <w:rFonts w:hint="eastAsia"/>
        </w:rPr>
        <w:t>梅州市区现有四个客运站和三个社会公用型货运站。现有客运站中汽车客运总站的规模、设施相对较好；月梅汽车站、江南汽车站、梅县新城汽车客运站占地分别为</w:t>
      </w:r>
      <w:r>
        <w:rPr>
          <w:rFonts w:hint="eastAsia"/>
        </w:rPr>
        <w:t>8</w:t>
      </w:r>
      <w:r>
        <w:rPr>
          <w:rFonts w:hint="eastAsia"/>
        </w:rPr>
        <w:t>亩、</w:t>
      </w:r>
      <w:r>
        <w:rPr>
          <w:rFonts w:hint="eastAsia"/>
        </w:rPr>
        <w:t>13.7</w:t>
      </w:r>
      <w:r>
        <w:rPr>
          <w:rFonts w:hint="eastAsia"/>
        </w:rPr>
        <w:t>亩、</w:t>
      </w:r>
      <w:r>
        <w:rPr>
          <w:rFonts w:hint="eastAsia"/>
        </w:rPr>
        <w:t>19.5</w:t>
      </w:r>
      <w:r>
        <w:rPr>
          <w:rFonts w:hint="eastAsia"/>
        </w:rPr>
        <w:t>亩，后三个站场的规模小且周边均紧贴居民楼，已无拓展用地，发车、</w:t>
      </w:r>
      <w:r>
        <w:rPr>
          <w:rFonts w:hint="eastAsia"/>
        </w:rPr>
        <w:lastRenderedPageBreak/>
        <w:t>停车场地严重不足，安全隐患严重，均不能满足《汽车客运站级别划分和建设要求》中对公路枢纽客运站的建设要求。现有的社会公用型货运站场中，鹏安货运站占地</w:t>
      </w:r>
      <w:r>
        <w:rPr>
          <w:rFonts w:hint="eastAsia"/>
        </w:rPr>
        <w:t>45</w:t>
      </w:r>
      <w:r>
        <w:rPr>
          <w:rFonts w:hint="eastAsia"/>
        </w:rPr>
        <w:t>亩</w:t>
      </w:r>
      <w:r>
        <w:rPr>
          <w:rFonts w:ascii="宋体" w:hAnsi="宋体" w:hint="eastAsia"/>
        </w:rPr>
        <w:t>，</w:t>
      </w:r>
      <w:r>
        <w:rPr>
          <w:rFonts w:hint="eastAsia"/>
        </w:rPr>
        <w:t>梅州汽车客运公司零担货运站和金三和货运站占地均不足</w:t>
      </w:r>
      <w:r>
        <w:rPr>
          <w:rFonts w:hint="eastAsia"/>
        </w:rPr>
        <w:t>1</w:t>
      </w:r>
      <w:r>
        <w:rPr>
          <w:rFonts w:hint="eastAsia"/>
        </w:rPr>
        <w:t>亩</w:t>
      </w:r>
      <w:r>
        <w:rPr>
          <w:rFonts w:ascii="宋体" w:hAnsi="宋体" w:hint="eastAsia"/>
        </w:rPr>
        <w:t>，</w:t>
      </w:r>
      <w:r>
        <w:rPr>
          <w:rFonts w:hint="eastAsia"/>
        </w:rPr>
        <w:t>已不能满足货运企业的入驻、货车停放、货物仓储等货运市场的基本需求，且未来土地扩展规模受限。因此，梅州市现有的客货站场存在规模小、设施陈旧的问题，已不能满足客、货运市场发展的需求。</w:t>
      </w:r>
    </w:p>
    <w:p w:rsidR="006D75C9" w:rsidRDefault="000B15B3">
      <w:pPr>
        <w:pStyle w:val="3"/>
      </w:pPr>
      <w:r>
        <w:rPr>
          <w:rFonts w:hint="eastAsia"/>
        </w:rPr>
        <w:t>布局不合理，不能适应城市发展需要</w:t>
      </w:r>
    </w:p>
    <w:p w:rsidR="006D75C9" w:rsidRDefault="000B15B3">
      <w:pPr>
        <w:pStyle w:val="11"/>
      </w:pPr>
      <w:r>
        <w:rPr>
          <w:rFonts w:hint="eastAsia"/>
        </w:rPr>
        <w:t>从客运站的布局来看，梅州汽车客运总站与月梅汽车客运站位于江北片区，江南汽车站位于江南片区，梅县新城汽车客运站位于梅县区锭子桥附近，基本分布在城市中环路内，这种布局是与十年前梅州市的城市发展状况和人口分布相适应的。经过十多年的发展，梅州市区的常住人口已有</w:t>
      </w:r>
      <w:r>
        <w:rPr>
          <w:rFonts w:hint="eastAsia"/>
        </w:rPr>
        <w:t>40</w:t>
      </w:r>
      <w:r>
        <w:rPr>
          <w:rFonts w:hint="eastAsia"/>
        </w:rPr>
        <w:t>多万，特别是近年来梅州市的城市规模和城区范围不断扩展，江南片区的人口快速增长，畲江组团已纳入城市规划区范围并作为重点发展区域，未来</w:t>
      </w:r>
      <w:r>
        <w:rPr>
          <w:rFonts w:hint="eastAsia"/>
          <w:snapToGrid w:val="0"/>
          <w:color w:val="000000"/>
        </w:rPr>
        <w:t>梅州市区按照未来</w:t>
      </w:r>
      <w:r>
        <w:rPr>
          <w:rFonts w:hint="eastAsia"/>
          <w:snapToGrid w:val="0"/>
          <w:color w:val="000000"/>
        </w:rPr>
        <w:t>100</w:t>
      </w:r>
      <w:r>
        <w:rPr>
          <w:rFonts w:hint="eastAsia"/>
          <w:snapToGrid w:val="0"/>
          <w:color w:val="000000"/>
        </w:rPr>
        <w:t>万人口的规模，积极探索“城市向山发展、资源向城集中”的模式，</w:t>
      </w:r>
      <w:r>
        <w:rPr>
          <w:rFonts w:hint="eastAsia"/>
        </w:rPr>
        <w:t>梅州市区人口规模将是目前市区人口的</w:t>
      </w:r>
      <w:r>
        <w:rPr>
          <w:rFonts w:hint="eastAsia"/>
        </w:rPr>
        <w:t>2</w:t>
      </w:r>
      <w:r>
        <w:rPr>
          <w:rFonts w:hint="eastAsia"/>
        </w:rPr>
        <w:t>倍以上，而现有四个客运站的分布相对比较集中，已不能适应城区范围扩展后城市发展和群众出行的需要。</w:t>
      </w:r>
    </w:p>
    <w:p w:rsidR="006D75C9" w:rsidRDefault="000B15B3">
      <w:pPr>
        <w:pStyle w:val="11"/>
      </w:pPr>
      <w:r>
        <w:rPr>
          <w:rFonts w:hint="eastAsia"/>
        </w:rPr>
        <w:t>从货运站场布局来看，鹏安货运站和金三和货运站均位于梅县区锭子桥附近，在城市中环路以内，这一区域虽然具有优越的区位和交通条件，能够快速进出对外通道并连通市区，但是现行城市总体规划中明确锭子桥周边用地性质为居住用地，现有货运站场的分布与城市总体规划中的用地性质规划不符。梅州汽车客运公司零担货运站是梅州汽车客运总站的附属业务。另外，随着</w:t>
      </w:r>
      <w:r>
        <w:rPr>
          <w:rFonts w:hint="eastAsia"/>
        </w:rPr>
        <w:lastRenderedPageBreak/>
        <w:t>丰华兴梅产业集聚带规划实施，梅州市工业园区的发展、商贸区市场规模的扩大，需要增加其他货运站场来满足不断增长的货运需求，因此现有货运站场也不能适应城市发展的需要。</w:t>
      </w:r>
    </w:p>
    <w:p w:rsidR="006D75C9" w:rsidRDefault="000B15B3">
      <w:pPr>
        <w:pStyle w:val="3"/>
      </w:pPr>
      <w:r>
        <w:rPr>
          <w:rFonts w:hint="eastAsia"/>
        </w:rPr>
        <w:t>与其他运输方式衔接不畅，不能满足综合运输发展的需要</w:t>
      </w:r>
    </w:p>
    <w:p w:rsidR="006D75C9" w:rsidRDefault="000B15B3">
      <w:pPr>
        <w:pStyle w:val="11"/>
      </w:pPr>
      <w:r>
        <w:rPr>
          <w:rFonts w:hint="eastAsia"/>
        </w:rPr>
        <w:t>梅州市目前已初步形成公路、铁路、内河、航空等多种方式相互协调的综合交通网络。长深高速公路梅州至河源段（梅河高速公路）、汕昆高速公路汕头至梅州段（汕梅高速公路）及兴宁至畲江段、梅州环城高速公路西段、梅州至龙岩高速公路相继开通，干线公路另有</w:t>
      </w:r>
      <w:r>
        <w:rPr>
          <w:rFonts w:hint="eastAsia"/>
        </w:rPr>
        <w:t>G205</w:t>
      </w:r>
      <w:r>
        <w:rPr>
          <w:rFonts w:hint="eastAsia"/>
        </w:rPr>
        <w:t>、</w:t>
      </w:r>
      <w:r>
        <w:rPr>
          <w:rFonts w:hint="eastAsia"/>
        </w:rPr>
        <w:t>G206</w:t>
      </w:r>
      <w:r>
        <w:rPr>
          <w:rFonts w:hint="eastAsia"/>
        </w:rPr>
        <w:t>两条国道和</w:t>
      </w:r>
      <w:r>
        <w:rPr>
          <w:rFonts w:hint="eastAsia"/>
        </w:rPr>
        <w:t>16</w:t>
      </w:r>
      <w:r>
        <w:rPr>
          <w:rFonts w:hint="eastAsia"/>
        </w:rPr>
        <w:t>条省道；铁路方面</w:t>
      </w:r>
      <w:r>
        <w:t>，</w:t>
      </w:r>
      <w:r>
        <w:rPr>
          <w:rFonts w:hint="eastAsia"/>
        </w:rPr>
        <w:t>广梅汕</w:t>
      </w:r>
      <w:r>
        <w:t>、</w:t>
      </w:r>
      <w:r>
        <w:rPr>
          <w:rFonts w:hint="eastAsia"/>
        </w:rPr>
        <w:t>梅坎铁路在梅州市区相连；内河航道以韩江为主，水运主要服务于货物运输；梅州机场主要开展旅客运输。但是，现有的公路客货运站场在建设实施中均未考虑与其他运输方式之间的衔接、配套，不能充分发挥公路运输的优势，因此，现有公路客货运站场已不能适应综合运输发展的需要。</w:t>
      </w:r>
    </w:p>
    <w:p w:rsidR="006D75C9" w:rsidRDefault="000B15B3">
      <w:pPr>
        <w:pStyle w:val="3"/>
      </w:pPr>
      <w:r>
        <w:rPr>
          <w:rFonts w:hint="eastAsia"/>
        </w:rPr>
        <w:t>信息化和标准化程度不够，组织管理水平较低</w:t>
      </w:r>
    </w:p>
    <w:p w:rsidR="006D75C9" w:rsidRDefault="000B15B3">
      <w:pPr>
        <w:pStyle w:val="11"/>
      </w:pPr>
      <w:r>
        <w:rPr>
          <w:rFonts w:hint="eastAsia"/>
        </w:rPr>
        <w:t>梅州现有客货运站的组织管理水平较过去有所改善，管理方法、手段也在逐步改革。梅州汽车客运总站的车辆均安装了</w:t>
      </w:r>
      <w:r>
        <w:rPr>
          <w:rFonts w:hint="eastAsia"/>
        </w:rPr>
        <w:t>GPS</w:t>
      </w:r>
      <w:r>
        <w:rPr>
          <w:rFonts w:hint="eastAsia"/>
        </w:rPr>
        <w:t>，车辆及站场运营实现了网上监控，梅州汽车客运总站与江南汽车站同属梅州市粤运汽车运输有限公司，实现了联网售票，但与梅县新城汽车客运站、月梅汽车客运站间未实现联网。现有客运站的经营、管理仍缺乏信息平台，旅客与客运站、各站场之间以及站场与各级管理部门之间缺乏及时高效的信息沟通渠道。</w:t>
      </w:r>
      <w:r>
        <w:rPr>
          <w:rFonts w:ascii="宋体" w:hAnsi="宋体" w:cs="宋体" w:hint="eastAsia"/>
          <w:color w:val="000000"/>
          <w:szCs w:val="21"/>
        </w:rPr>
        <w:t>从</w:t>
      </w:r>
      <w:r>
        <w:rPr>
          <w:rFonts w:hint="eastAsia"/>
        </w:rPr>
        <w:t>货运来看，货运交易和零担运输的组织有较大改善，但目前局限于企业自有的网上交易平台服务于货主和车主间相互获取信息。总体</w:t>
      </w:r>
      <w:r>
        <w:rPr>
          <w:rFonts w:hint="eastAsia"/>
        </w:rPr>
        <w:lastRenderedPageBreak/>
        <w:t>来看，梅州市的运输组织与管理在技术装备、信息技术的应用还不够，特别是车辆调度、站场计算机管理、救援网络、智能交通、网络技术等方面均处于较低水平。</w:t>
      </w:r>
    </w:p>
    <w:p w:rsidR="006D75C9" w:rsidRDefault="000B15B3">
      <w:pPr>
        <w:pStyle w:val="11"/>
      </w:pPr>
      <w:r>
        <w:rPr>
          <w:rFonts w:hint="eastAsia"/>
        </w:rPr>
        <w:t>针对上述实际状况，面对新的发展机遇，作为综合交通运输体系的重要组成部分，国家公路运输枢纽网络的重要节点城市，梅州公路运输枢纽站场需要进行总体规划布局，以崭新的面貌适应新时期社会经济和交通运输发展的需要，服务于国民经济与社会发展，服务大众便捷、安全的出行。</w:t>
      </w:r>
    </w:p>
    <w:p w:rsidR="006D75C9" w:rsidRDefault="000B15B3">
      <w:pPr>
        <w:pStyle w:val="2"/>
        <w:numPr>
          <w:ilvl w:val="1"/>
          <w:numId w:val="0"/>
        </w:numPr>
        <w:spacing w:beforeLines="200" w:before="480" w:afterLines="150" w:after="360"/>
        <w:jc w:val="center"/>
      </w:pPr>
      <w:bookmarkStart w:id="2" w:name="_Toc430166387"/>
      <w:r>
        <w:rPr>
          <w:rFonts w:hint="eastAsia"/>
        </w:rPr>
        <w:t>第二节</w:t>
      </w:r>
      <w:r>
        <w:rPr>
          <w:rFonts w:hint="eastAsia"/>
        </w:rPr>
        <w:t xml:space="preserve">  </w:t>
      </w:r>
      <w:r>
        <w:rPr>
          <w:rFonts w:hint="eastAsia"/>
        </w:rPr>
        <w:t>规划依据</w:t>
      </w:r>
      <w:bookmarkEnd w:id="2"/>
    </w:p>
    <w:p w:rsidR="006D75C9" w:rsidRDefault="000B15B3">
      <w:pPr>
        <w:pStyle w:val="11"/>
        <w:numPr>
          <w:ilvl w:val="1"/>
          <w:numId w:val="4"/>
        </w:numPr>
        <w:spacing w:afterLines="25" w:after="60"/>
        <w:ind w:firstLineChars="0"/>
      </w:pPr>
      <w:r>
        <w:rPr>
          <w:rFonts w:hint="eastAsia"/>
        </w:rPr>
        <w:t>《国家公路运输枢纽总体规划》</w:t>
      </w:r>
    </w:p>
    <w:p w:rsidR="006D75C9" w:rsidRDefault="000B15B3">
      <w:pPr>
        <w:pStyle w:val="11"/>
        <w:numPr>
          <w:ilvl w:val="1"/>
          <w:numId w:val="4"/>
        </w:numPr>
        <w:spacing w:afterLines="25" w:after="60"/>
        <w:ind w:firstLineChars="0"/>
      </w:pPr>
      <w:r>
        <w:rPr>
          <w:rFonts w:hint="eastAsia"/>
        </w:rPr>
        <w:t>《公路运输枢纽总体规划编制办法》</w:t>
      </w:r>
    </w:p>
    <w:p w:rsidR="006D75C9" w:rsidRDefault="000B15B3">
      <w:pPr>
        <w:pStyle w:val="11"/>
        <w:numPr>
          <w:ilvl w:val="1"/>
          <w:numId w:val="4"/>
        </w:numPr>
        <w:spacing w:afterLines="25" w:after="60"/>
        <w:ind w:firstLineChars="0"/>
      </w:pPr>
      <w:r>
        <w:rPr>
          <w:rFonts w:hint="eastAsia"/>
        </w:rPr>
        <w:t>《国家公路网规划（</w:t>
      </w:r>
      <w:r>
        <w:rPr>
          <w:rFonts w:hint="eastAsia"/>
        </w:rPr>
        <w:t>2013-2030</w:t>
      </w:r>
      <w:r>
        <w:rPr>
          <w:rFonts w:hint="eastAsia"/>
        </w:rPr>
        <w:t>）》</w:t>
      </w:r>
    </w:p>
    <w:p w:rsidR="006D75C9" w:rsidRDefault="000B15B3">
      <w:pPr>
        <w:pStyle w:val="11"/>
        <w:numPr>
          <w:ilvl w:val="1"/>
          <w:numId w:val="4"/>
        </w:numPr>
        <w:spacing w:afterLines="25" w:after="60"/>
        <w:ind w:firstLineChars="0"/>
      </w:pPr>
      <w:r>
        <w:rPr>
          <w:rFonts w:hint="eastAsia"/>
        </w:rPr>
        <w:t>《海峡西岸经济区发展规划》</w:t>
      </w:r>
    </w:p>
    <w:p w:rsidR="006D75C9" w:rsidRDefault="000B15B3">
      <w:pPr>
        <w:pStyle w:val="11"/>
        <w:numPr>
          <w:ilvl w:val="1"/>
          <w:numId w:val="4"/>
        </w:numPr>
        <w:spacing w:afterLines="25" w:after="60"/>
        <w:ind w:firstLineChars="0"/>
      </w:pPr>
      <w:r>
        <w:rPr>
          <w:rFonts w:hint="eastAsia"/>
        </w:rPr>
        <w:t>《</w:t>
      </w:r>
      <w:r>
        <w:rPr>
          <w:rFonts w:hint="eastAsia"/>
          <w:bCs/>
        </w:rPr>
        <w:t>赣闽粤原中央苏区振兴发展规划</w:t>
      </w:r>
      <w:r>
        <w:rPr>
          <w:rFonts w:hint="eastAsia"/>
        </w:rPr>
        <w:t>》</w:t>
      </w:r>
    </w:p>
    <w:p w:rsidR="006D75C9" w:rsidRDefault="000B15B3">
      <w:pPr>
        <w:pStyle w:val="11"/>
        <w:numPr>
          <w:ilvl w:val="1"/>
          <w:numId w:val="4"/>
        </w:numPr>
        <w:spacing w:afterLines="25" w:after="60"/>
        <w:ind w:firstLineChars="0"/>
      </w:pPr>
      <w:r>
        <w:rPr>
          <w:rFonts w:hint="eastAsia"/>
        </w:rPr>
        <w:t>《丰华兴梅产业集聚带规划》</w:t>
      </w:r>
    </w:p>
    <w:p w:rsidR="006D75C9" w:rsidRDefault="000B15B3">
      <w:pPr>
        <w:pStyle w:val="11"/>
        <w:numPr>
          <w:ilvl w:val="1"/>
          <w:numId w:val="4"/>
        </w:numPr>
        <w:spacing w:afterLines="25" w:after="60"/>
        <w:ind w:firstLineChars="0"/>
      </w:pPr>
      <w:r>
        <w:rPr>
          <w:rFonts w:hint="eastAsia"/>
        </w:rPr>
        <w:t>《珠江三角洲地区改革发展规划纲要（</w:t>
      </w:r>
      <w:r>
        <w:t>2008-2020</w:t>
      </w:r>
      <w:r>
        <w:rPr>
          <w:rFonts w:hint="eastAsia"/>
        </w:rPr>
        <w:t>）》</w:t>
      </w:r>
    </w:p>
    <w:p w:rsidR="006D75C9" w:rsidRDefault="000B15B3">
      <w:pPr>
        <w:pStyle w:val="11"/>
        <w:numPr>
          <w:ilvl w:val="1"/>
          <w:numId w:val="4"/>
        </w:numPr>
        <w:spacing w:afterLines="25" w:after="60"/>
        <w:ind w:firstLineChars="0"/>
      </w:pPr>
      <w:r>
        <w:rPr>
          <w:rFonts w:hint="eastAsia"/>
        </w:rPr>
        <w:t>《粤北地区经济社会发展规划纲要（</w:t>
      </w:r>
      <w:r>
        <w:rPr>
          <w:rFonts w:hint="eastAsia"/>
        </w:rPr>
        <w:t>2011-2015</w:t>
      </w:r>
      <w:r>
        <w:rPr>
          <w:rFonts w:hint="eastAsia"/>
        </w:rPr>
        <w:t>）》</w:t>
      </w:r>
    </w:p>
    <w:p w:rsidR="006D75C9" w:rsidRDefault="000B15B3">
      <w:pPr>
        <w:pStyle w:val="11"/>
        <w:numPr>
          <w:ilvl w:val="1"/>
          <w:numId w:val="4"/>
        </w:numPr>
        <w:spacing w:afterLines="25" w:after="60"/>
        <w:ind w:firstLineChars="0"/>
      </w:pPr>
      <w:r>
        <w:rPr>
          <w:rFonts w:hint="eastAsia"/>
        </w:rPr>
        <w:t>《梅州市国民经济和社会发展第十二个五年规划纲要》</w:t>
      </w:r>
    </w:p>
    <w:p w:rsidR="006D75C9" w:rsidRDefault="000B15B3">
      <w:pPr>
        <w:pStyle w:val="11"/>
        <w:numPr>
          <w:ilvl w:val="1"/>
          <w:numId w:val="4"/>
        </w:numPr>
        <w:spacing w:afterLines="25" w:after="60"/>
        <w:ind w:firstLineChars="0"/>
      </w:pPr>
      <w:r>
        <w:rPr>
          <w:rFonts w:hint="eastAsia"/>
        </w:rPr>
        <w:t>《梅州市土地利用总体规划（</w:t>
      </w:r>
      <w:r>
        <w:rPr>
          <w:rFonts w:hint="eastAsia"/>
        </w:rPr>
        <w:t>2010-2020</w:t>
      </w:r>
      <w:r>
        <w:rPr>
          <w:rFonts w:hint="eastAsia"/>
        </w:rPr>
        <w:t>）》</w:t>
      </w:r>
    </w:p>
    <w:p w:rsidR="006D75C9" w:rsidRDefault="000B15B3">
      <w:pPr>
        <w:pStyle w:val="11"/>
        <w:numPr>
          <w:ilvl w:val="1"/>
          <w:numId w:val="4"/>
        </w:numPr>
        <w:spacing w:afterLines="25" w:after="60"/>
        <w:ind w:firstLineChars="0"/>
      </w:pPr>
      <w:r>
        <w:rPr>
          <w:rFonts w:hint="eastAsia"/>
        </w:rPr>
        <w:t>《梅州市市域城镇体系规划（</w:t>
      </w:r>
      <w:r>
        <w:rPr>
          <w:rFonts w:hint="eastAsia"/>
        </w:rPr>
        <w:t>2006-2020</w:t>
      </w:r>
      <w:r>
        <w:rPr>
          <w:rFonts w:hint="eastAsia"/>
        </w:rPr>
        <w:t>）》</w:t>
      </w:r>
    </w:p>
    <w:p w:rsidR="006D75C9" w:rsidRDefault="000B15B3">
      <w:pPr>
        <w:pStyle w:val="11"/>
        <w:numPr>
          <w:ilvl w:val="1"/>
          <w:numId w:val="4"/>
        </w:numPr>
        <w:spacing w:afterLines="25" w:after="60"/>
        <w:ind w:firstLineChars="0"/>
      </w:pPr>
      <w:r>
        <w:rPr>
          <w:rFonts w:hint="eastAsia"/>
        </w:rPr>
        <w:t>《梅州市城市总体规划（</w:t>
      </w:r>
      <w:r>
        <w:rPr>
          <w:rFonts w:hint="eastAsia"/>
        </w:rPr>
        <w:t>1993-2015</w:t>
      </w:r>
      <w:r>
        <w:rPr>
          <w:rFonts w:hint="eastAsia"/>
        </w:rPr>
        <w:t>）》</w:t>
      </w:r>
    </w:p>
    <w:p w:rsidR="006D75C9" w:rsidRDefault="000B15B3">
      <w:pPr>
        <w:pStyle w:val="11"/>
        <w:numPr>
          <w:ilvl w:val="1"/>
          <w:numId w:val="4"/>
        </w:numPr>
        <w:spacing w:afterLines="25" w:after="60"/>
        <w:ind w:firstLineChars="0"/>
      </w:pPr>
      <w:r>
        <w:rPr>
          <w:rFonts w:hint="eastAsia"/>
        </w:rPr>
        <w:t>《梅州市环境保护规划（</w:t>
      </w:r>
      <w:r>
        <w:rPr>
          <w:rFonts w:hint="eastAsia"/>
        </w:rPr>
        <w:t>2007-2020</w:t>
      </w:r>
      <w:r>
        <w:rPr>
          <w:rFonts w:hint="eastAsia"/>
        </w:rPr>
        <w:t>）》</w:t>
      </w:r>
    </w:p>
    <w:p w:rsidR="006D75C9" w:rsidRDefault="000B15B3">
      <w:pPr>
        <w:pStyle w:val="11"/>
        <w:numPr>
          <w:ilvl w:val="1"/>
          <w:numId w:val="4"/>
        </w:numPr>
        <w:spacing w:afterLines="25" w:after="60"/>
        <w:ind w:firstLineChars="0"/>
      </w:pPr>
      <w:r>
        <w:rPr>
          <w:rFonts w:hint="eastAsia"/>
        </w:rPr>
        <w:lastRenderedPageBreak/>
        <w:t>《广州</w:t>
      </w:r>
      <w:r>
        <w:rPr>
          <w:rFonts w:hint="eastAsia"/>
        </w:rPr>
        <w:t>(</w:t>
      </w:r>
      <w:r>
        <w:rPr>
          <w:rFonts w:hint="eastAsia"/>
        </w:rPr>
        <w:t>梅州</w:t>
      </w:r>
      <w:r>
        <w:rPr>
          <w:rFonts w:hint="eastAsia"/>
        </w:rPr>
        <w:t>)</w:t>
      </w:r>
      <w:r>
        <w:rPr>
          <w:rFonts w:hint="eastAsia"/>
        </w:rPr>
        <w:t>产业转移工业园总体规划》</w:t>
      </w:r>
    </w:p>
    <w:p w:rsidR="006D75C9" w:rsidRDefault="000B15B3">
      <w:pPr>
        <w:pStyle w:val="11"/>
        <w:numPr>
          <w:ilvl w:val="1"/>
          <w:numId w:val="4"/>
        </w:numPr>
        <w:spacing w:afterLines="25" w:after="60"/>
        <w:ind w:firstLineChars="0"/>
      </w:pPr>
      <w:r>
        <w:rPr>
          <w:rFonts w:hint="eastAsia"/>
        </w:rPr>
        <w:t>《广州</w:t>
      </w:r>
      <w:r>
        <w:rPr>
          <w:rFonts w:hint="eastAsia"/>
        </w:rPr>
        <w:t>(</w:t>
      </w:r>
      <w:r>
        <w:rPr>
          <w:rFonts w:hint="eastAsia"/>
        </w:rPr>
        <w:t>梅州</w:t>
      </w:r>
      <w:r>
        <w:rPr>
          <w:rFonts w:hint="eastAsia"/>
        </w:rPr>
        <w:t>)</w:t>
      </w:r>
      <w:r>
        <w:rPr>
          <w:rFonts w:hint="eastAsia"/>
        </w:rPr>
        <w:t>产业转移工业园首期用地控制性规划》</w:t>
      </w:r>
    </w:p>
    <w:p w:rsidR="006D75C9" w:rsidRDefault="000B15B3">
      <w:pPr>
        <w:pStyle w:val="11"/>
        <w:numPr>
          <w:ilvl w:val="1"/>
          <w:numId w:val="4"/>
        </w:numPr>
        <w:spacing w:afterLines="25" w:after="60"/>
        <w:ind w:firstLineChars="0"/>
      </w:pPr>
      <w:r>
        <w:rPr>
          <w:rFonts w:hint="eastAsia"/>
        </w:rPr>
        <w:t>《梅县城区总体规划》</w:t>
      </w:r>
    </w:p>
    <w:p w:rsidR="006D75C9" w:rsidRDefault="000B15B3">
      <w:pPr>
        <w:pStyle w:val="11"/>
        <w:numPr>
          <w:ilvl w:val="1"/>
          <w:numId w:val="4"/>
        </w:numPr>
        <w:spacing w:afterLines="25" w:after="60"/>
        <w:ind w:firstLineChars="0"/>
      </w:pPr>
      <w:r>
        <w:rPr>
          <w:rFonts w:hint="eastAsia"/>
        </w:rPr>
        <w:t>《梅州市流通业规划》</w:t>
      </w:r>
    </w:p>
    <w:p w:rsidR="006D75C9" w:rsidRDefault="000B15B3">
      <w:pPr>
        <w:pStyle w:val="11"/>
        <w:numPr>
          <w:ilvl w:val="1"/>
          <w:numId w:val="4"/>
        </w:numPr>
        <w:spacing w:afterLines="25" w:after="60"/>
        <w:ind w:firstLineChars="0"/>
      </w:pPr>
      <w:r>
        <w:rPr>
          <w:rFonts w:hint="eastAsia"/>
        </w:rPr>
        <w:t>《梅州市旅游业规划》</w:t>
      </w:r>
    </w:p>
    <w:p w:rsidR="006D75C9" w:rsidRDefault="000B15B3">
      <w:pPr>
        <w:pStyle w:val="11"/>
        <w:numPr>
          <w:ilvl w:val="1"/>
          <w:numId w:val="4"/>
        </w:numPr>
        <w:spacing w:afterLines="25" w:after="60"/>
        <w:ind w:firstLineChars="0"/>
      </w:pPr>
      <w:r>
        <w:rPr>
          <w:rFonts w:hint="eastAsia"/>
        </w:rPr>
        <w:t>《关于创建广东梅州文化旅游特色区的决定》</w:t>
      </w:r>
    </w:p>
    <w:p w:rsidR="006D75C9" w:rsidRDefault="000B15B3">
      <w:pPr>
        <w:pStyle w:val="11"/>
        <w:numPr>
          <w:ilvl w:val="1"/>
          <w:numId w:val="4"/>
        </w:numPr>
        <w:spacing w:afterLines="25" w:after="60"/>
        <w:ind w:firstLineChars="0"/>
      </w:pPr>
      <w:r>
        <w:rPr>
          <w:rFonts w:hint="eastAsia"/>
        </w:rPr>
        <w:t>《梅州市公交专项规划》</w:t>
      </w:r>
    </w:p>
    <w:p w:rsidR="006D75C9" w:rsidRDefault="000B15B3">
      <w:pPr>
        <w:pStyle w:val="11"/>
        <w:numPr>
          <w:ilvl w:val="1"/>
          <w:numId w:val="4"/>
        </w:numPr>
        <w:spacing w:afterLines="25" w:after="60"/>
        <w:ind w:firstLineChars="0"/>
      </w:pPr>
      <w:r>
        <w:rPr>
          <w:rFonts w:hint="eastAsia"/>
        </w:rPr>
        <w:t>《梅县机场总体规划》</w:t>
      </w:r>
    </w:p>
    <w:p w:rsidR="006D75C9" w:rsidRDefault="00C854DA">
      <w:pPr>
        <w:pStyle w:val="11"/>
        <w:numPr>
          <w:ilvl w:val="1"/>
          <w:numId w:val="4"/>
        </w:numPr>
        <w:ind w:firstLineChars="0"/>
      </w:pPr>
      <w:r>
        <w:t xml:space="preserve"> </w:t>
      </w:r>
      <w:r w:rsidR="000B15B3">
        <w:rPr>
          <w:rFonts w:hint="eastAsia"/>
        </w:rPr>
        <w:t>鹰梅铁路和浦梅铁路规划和工程可行性研究相关资料</w:t>
      </w:r>
    </w:p>
    <w:p w:rsidR="006D75C9" w:rsidRDefault="00C854DA">
      <w:pPr>
        <w:pStyle w:val="11"/>
        <w:numPr>
          <w:ilvl w:val="1"/>
          <w:numId w:val="4"/>
        </w:numPr>
        <w:ind w:firstLineChars="0"/>
      </w:pPr>
      <w:r>
        <w:t xml:space="preserve"> </w:t>
      </w:r>
      <w:r w:rsidR="000B15B3">
        <w:rPr>
          <w:rFonts w:hint="eastAsia"/>
        </w:rPr>
        <w:t>其他相关调研资料</w:t>
      </w:r>
    </w:p>
    <w:p w:rsidR="006D75C9" w:rsidRDefault="000B15B3">
      <w:pPr>
        <w:pStyle w:val="2"/>
        <w:numPr>
          <w:ilvl w:val="1"/>
          <w:numId w:val="0"/>
        </w:numPr>
        <w:spacing w:beforeLines="200" w:before="480" w:afterLines="150" w:after="360"/>
        <w:jc w:val="center"/>
      </w:pPr>
      <w:bookmarkStart w:id="3" w:name="_Toc430166388"/>
      <w:r>
        <w:rPr>
          <w:rFonts w:hint="eastAsia"/>
        </w:rPr>
        <w:t>第三节</w:t>
      </w:r>
      <w:r>
        <w:rPr>
          <w:rFonts w:hint="eastAsia"/>
        </w:rPr>
        <w:t xml:space="preserve">  </w:t>
      </w:r>
      <w:r>
        <w:rPr>
          <w:rFonts w:hint="eastAsia"/>
        </w:rPr>
        <w:t>规划范围</w:t>
      </w:r>
      <w:bookmarkEnd w:id="3"/>
    </w:p>
    <w:p w:rsidR="006D75C9" w:rsidRDefault="000B15B3">
      <w:pPr>
        <w:pStyle w:val="11"/>
      </w:pPr>
      <w:r>
        <w:rPr>
          <w:rFonts w:hint="eastAsia"/>
        </w:rPr>
        <w:t>梅州国家公路运输枢纽规划范围原则上与城市总体规划批准的城区范围一致，包括中心城区和广州（梅州）产业转移工业园，其中广州（梅州）产业转移工业园在</w:t>
      </w:r>
      <w:r>
        <w:rPr>
          <w:rFonts w:hint="eastAsia"/>
        </w:rPr>
        <w:t>2008</w:t>
      </w:r>
      <w:r>
        <w:rPr>
          <w:rFonts w:hint="eastAsia"/>
        </w:rPr>
        <w:t>年纳入城市规划区范围。</w:t>
      </w:r>
    </w:p>
    <w:p w:rsidR="006D75C9" w:rsidRDefault="000B15B3">
      <w:pPr>
        <w:pStyle w:val="2"/>
        <w:numPr>
          <w:ilvl w:val="1"/>
          <w:numId w:val="0"/>
        </w:numPr>
        <w:spacing w:beforeLines="200" w:before="480" w:afterLines="150" w:after="360"/>
        <w:jc w:val="center"/>
      </w:pPr>
      <w:bookmarkStart w:id="4" w:name="_Toc430166389"/>
      <w:r>
        <w:rPr>
          <w:rFonts w:hint="eastAsia"/>
        </w:rPr>
        <w:t>第四节</w:t>
      </w:r>
      <w:r>
        <w:rPr>
          <w:rFonts w:hint="eastAsia"/>
        </w:rPr>
        <w:t xml:space="preserve">  </w:t>
      </w:r>
      <w:r>
        <w:rPr>
          <w:rFonts w:hint="eastAsia"/>
        </w:rPr>
        <w:t>规划期限</w:t>
      </w:r>
      <w:bookmarkEnd w:id="4"/>
    </w:p>
    <w:p w:rsidR="006D75C9" w:rsidRDefault="000B15B3">
      <w:pPr>
        <w:pStyle w:val="11"/>
      </w:pPr>
      <w:r>
        <w:rPr>
          <w:rFonts w:hint="eastAsia"/>
        </w:rPr>
        <w:t>梅州国家公路运输枢纽规划期为</w:t>
      </w:r>
      <w:r>
        <w:rPr>
          <w:rFonts w:hint="eastAsia"/>
        </w:rPr>
        <w:t>201</w:t>
      </w:r>
      <w:r w:rsidR="00C854DA">
        <w:t>3</w:t>
      </w:r>
      <w:r>
        <w:rPr>
          <w:rFonts w:hint="eastAsia"/>
        </w:rPr>
        <w:t>－</w:t>
      </w:r>
      <w:r>
        <w:rPr>
          <w:rFonts w:hint="eastAsia"/>
        </w:rPr>
        <w:t>2030</w:t>
      </w:r>
      <w:r>
        <w:rPr>
          <w:rFonts w:hint="eastAsia"/>
        </w:rPr>
        <w:t>年。</w:t>
      </w:r>
    </w:p>
    <w:p w:rsidR="006D75C9" w:rsidRDefault="000B15B3">
      <w:pPr>
        <w:widowControl/>
        <w:jc w:val="left"/>
        <w:rPr>
          <w:spacing w:val="10"/>
          <w:kern w:val="0"/>
          <w:sz w:val="28"/>
          <w:szCs w:val="28"/>
        </w:rPr>
      </w:pPr>
      <w:r>
        <w:br w:type="page"/>
      </w:r>
    </w:p>
    <w:p w:rsidR="006D75C9" w:rsidRDefault="006D75C9">
      <w:pPr>
        <w:pStyle w:val="11"/>
      </w:pPr>
    </w:p>
    <w:p w:rsidR="006D75C9" w:rsidRDefault="000B15B3">
      <w:pPr>
        <w:pStyle w:val="1"/>
      </w:pPr>
      <w:bookmarkStart w:id="5" w:name="_Toc430166390"/>
      <w:r>
        <w:rPr>
          <w:rFonts w:hint="eastAsia"/>
        </w:rPr>
        <w:t>第二章</w:t>
      </w:r>
      <w:r>
        <w:rPr>
          <w:rFonts w:hint="eastAsia"/>
        </w:rPr>
        <w:t xml:space="preserve">  </w:t>
      </w:r>
      <w:r>
        <w:rPr>
          <w:rFonts w:hint="eastAsia"/>
        </w:rPr>
        <w:t>规划的必要性</w:t>
      </w:r>
      <w:bookmarkEnd w:id="5"/>
    </w:p>
    <w:p w:rsidR="006D75C9" w:rsidRDefault="000B15B3">
      <w:pPr>
        <w:pStyle w:val="3"/>
        <w:numPr>
          <w:ilvl w:val="0"/>
          <w:numId w:val="5"/>
        </w:numPr>
        <w:ind w:left="0" w:firstLineChars="200" w:firstLine="562"/>
      </w:pPr>
      <w:r>
        <w:rPr>
          <w:rFonts w:hint="eastAsia"/>
        </w:rPr>
        <w:t>加快综合运输体系建设，提升梅州交通枢纽城市地位的需要</w:t>
      </w:r>
    </w:p>
    <w:p w:rsidR="006D75C9" w:rsidRDefault="000B15B3">
      <w:pPr>
        <w:pStyle w:val="11"/>
      </w:pPr>
      <w:r>
        <w:t>从地理区位看，在全国的经济格局中，梅州</w:t>
      </w:r>
      <w:r>
        <w:rPr>
          <w:rFonts w:hint="eastAsia"/>
        </w:rPr>
        <w:t>处在珠三角经济区和厦漳泉经济区、海峡西岸经济区等东部沿海经济发达地区</w:t>
      </w:r>
      <w:r>
        <w:t>的过渡地带，</w:t>
      </w:r>
      <w:r>
        <w:rPr>
          <w:rFonts w:hint="eastAsia"/>
        </w:rPr>
        <w:t>是人员物资集散的重要节点；</w:t>
      </w:r>
      <w:r>
        <w:t>从交通区位看，</w:t>
      </w:r>
      <w:r>
        <w:rPr>
          <w:rFonts w:hint="eastAsia"/>
        </w:rPr>
        <w:t>长春至深圳、济南至广州、汕头至昆明等三条国家高速公路及多条广东省高速公路</w:t>
      </w:r>
      <w:r>
        <w:t>在梅州市交汇，</w:t>
      </w:r>
      <w:r>
        <w:rPr>
          <w:rFonts w:hint="eastAsia"/>
        </w:rPr>
        <w:t>广梅汕、梅坎</w:t>
      </w:r>
      <w:r>
        <w:t>铁路在梅州</w:t>
      </w:r>
      <w:r>
        <w:rPr>
          <w:rFonts w:hint="eastAsia"/>
        </w:rPr>
        <w:t>相连，沟通了粤东地区与珠三角地区，并形成了广东省东部地区的出省通道</w:t>
      </w:r>
      <w:r>
        <w:t>，奠定了梅州</w:t>
      </w:r>
      <w:r>
        <w:rPr>
          <w:rFonts w:hint="eastAsia"/>
        </w:rPr>
        <w:t>联系东西、衔接</w:t>
      </w:r>
      <w:r>
        <w:t>南北</w:t>
      </w:r>
      <w:r>
        <w:rPr>
          <w:rFonts w:hint="eastAsia"/>
        </w:rPr>
        <w:t>的</w:t>
      </w:r>
      <w:r>
        <w:t>交通枢纽地位</w:t>
      </w:r>
      <w:r>
        <w:rPr>
          <w:rFonts w:hint="eastAsia"/>
        </w:rPr>
        <w:t>。未来，梅州发展定位为粤、闽、赣三省边区和</w:t>
      </w:r>
      <w:r>
        <w:t>粤东北地区区域性</w:t>
      </w:r>
      <w:r>
        <w:rPr>
          <w:rFonts w:hint="eastAsia"/>
        </w:rPr>
        <w:t>中心城市，客观上要求梅州加快交通基础设施的规划建设工作，尽快提升和巩固交通枢纽城市地位，增强梅州在人才、资本、信息等方面的</w:t>
      </w:r>
      <w:r>
        <w:t>集聚功能</w:t>
      </w:r>
      <w:r>
        <w:rPr>
          <w:rFonts w:hint="eastAsia"/>
        </w:rPr>
        <w:t>，为</w:t>
      </w:r>
      <w:r>
        <w:t>旅游业</w:t>
      </w:r>
      <w:r>
        <w:rPr>
          <w:rFonts w:hint="eastAsia"/>
        </w:rPr>
        <w:t>和</w:t>
      </w:r>
      <w:r>
        <w:t>工业发展、</w:t>
      </w:r>
      <w:r>
        <w:rPr>
          <w:rFonts w:hint="eastAsia"/>
        </w:rPr>
        <w:t>新型城镇化进程提供</w:t>
      </w:r>
      <w:r>
        <w:t>坚实的</w:t>
      </w:r>
      <w:r>
        <w:rPr>
          <w:rFonts w:hint="eastAsia"/>
        </w:rPr>
        <w:t>交通</w:t>
      </w:r>
      <w:r>
        <w:t>基础</w:t>
      </w:r>
      <w:r>
        <w:rPr>
          <w:rFonts w:hint="eastAsia"/>
        </w:rPr>
        <w:t>条件，进一步推动和引导区域经济更快更好地发展。</w:t>
      </w:r>
    </w:p>
    <w:p w:rsidR="006D75C9" w:rsidRDefault="000B15B3">
      <w:pPr>
        <w:pStyle w:val="11"/>
      </w:pPr>
      <w:r>
        <w:rPr>
          <w:rFonts w:hint="eastAsia"/>
        </w:rPr>
        <w:t>目前梅州公路、铁路网络正在逐步完善，规划鹰梅铁路、浦梅铁路、南三龙梅铁路等正在加快推进，如何</w:t>
      </w:r>
      <w:r>
        <w:t>整合交通资源，</w:t>
      </w:r>
      <w:r>
        <w:rPr>
          <w:rFonts w:hint="eastAsia"/>
        </w:rPr>
        <w:t>提高现有交通网络的运输能力和运输效率，构建立体化的综合交通体系是未来交通建设的重点。公路运输枢纽作为综合交通枢纽建设的重要内容，</w:t>
      </w:r>
      <w:r>
        <w:t>是公路与水运、铁路、机场等多种运输方式之间、</w:t>
      </w:r>
      <w:r>
        <w:rPr>
          <w:rFonts w:hint="eastAsia"/>
        </w:rPr>
        <w:t>以及</w:t>
      </w:r>
      <w:r>
        <w:t>公路交通与城市交通之间</w:t>
      </w:r>
      <w:r>
        <w:rPr>
          <w:rFonts w:hint="eastAsia"/>
        </w:rPr>
        <w:t>实现</w:t>
      </w:r>
      <w:r>
        <w:t>有机衔接的重要节点</w:t>
      </w:r>
      <w:r>
        <w:rPr>
          <w:rFonts w:hint="eastAsia"/>
        </w:rPr>
        <w:t>，是</w:t>
      </w:r>
      <w:r>
        <w:t>建立现代综合交通运输体系，充分发挥各种运输方式的组合效率和整体优势，</w:t>
      </w:r>
      <w:r>
        <w:rPr>
          <w:rFonts w:hint="eastAsia"/>
        </w:rPr>
        <w:t>提高综合运输系统整体效益和服务水平的一个重要环节。因此，梅州公路运输枢纽规划是完善综合交通运输体系，巩固和</w:t>
      </w:r>
      <w:r>
        <w:rPr>
          <w:rFonts w:hint="eastAsia"/>
        </w:rPr>
        <w:lastRenderedPageBreak/>
        <w:t>提升梅州交通枢纽城市地位的需要。</w:t>
      </w:r>
    </w:p>
    <w:p w:rsidR="006D75C9" w:rsidRDefault="000B15B3">
      <w:pPr>
        <w:pStyle w:val="3"/>
        <w:numPr>
          <w:ilvl w:val="0"/>
          <w:numId w:val="5"/>
        </w:numPr>
        <w:ind w:left="0" w:firstLineChars="200" w:firstLine="562"/>
      </w:pPr>
      <w:r>
        <w:rPr>
          <w:rFonts w:hint="eastAsia"/>
        </w:rPr>
        <w:t>适应城市发展战略调整、促进城市发展的需要</w:t>
      </w:r>
    </w:p>
    <w:p w:rsidR="006D75C9" w:rsidRDefault="000B15B3">
      <w:pPr>
        <w:pStyle w:val="11"/>
      </w:pPr>
      <w:r>
        <w:rPr>
          <w:rFonts w:hint="eastAsia"/>
        </w:rPr>
        <w:t>新世纪以来，为了推动经济社会实现跨越式发展，梅州市的城市发展战略和城市规划逐步进行了调整。从</w:t>
      </w:r>
      <w:r>
        <w:rPr>
          <w:rFonts w:hint="eastAsia"/>
        </w:rPr>
        <w:t>2003</w:t>
      </w:r>
      <w:r>
        <w:rPr>
          <w:rFonts w:hint="eastAsia"/>
        </w:rPr>
        <w:t>年的“四个梅州”发展战略到</w:t>
      </w:r>
      <w:r>
        <w:rPr>
          <w:rFonts w:hint="eastAsia"/>
        </w:rPr>
        <w:t>2008</w:t>
      </w:r>
      <w:r>
        <w:rPr>
          <w:rFonts w:hint="eastAsia"/>
        </w:rPr>
        <w:t>年的“</w:t>
      </w:r>
      <w:r>
        <w:t>推动绿色崛起</w:t>
      </w:r>
      <w:r>
        <w:rPr>
          <w:rFonts w:hint="eastAsia"/>
        </w:rPr>
        <w:t>，</w:t>
      </w:r>
      <w:r>
        <w:t>实现科学发展</w:t>
      </w:r>
      <w:r>
        <w:rPr>
          <w:rFonts w:hint="eastAsia"/>
        </w:rPr>
        <w:t>”发展</w:t>
      </w:r>
      <w:r>
        <w:t>战略</w:t>
      </w:r>
      <w:r>
        <w:rPr>
          <w:rFonts w:hint="eastAsia"/>
        </w:rPr>
        <w:t>，《梅州市国民经济和社会发展第十二个五年规划纲要》进一步提出了新型特色工业战略、休闲旅游优先战略、精致高效农业战略、“大城区”战略、“大民生”战略。</w:t>
      </w:r>
      <w:r>
        <w:rPr>
          <w:rFonts w:hint="eastAsia"/>
        </w:rPr>
        <w:t>2015</w:t>
      </w:r>
      <w:r>
        <w:rPr>
          <w:rFonts w:hint="eastAsia"/>
        </w:rPr>
        <w:t>年进一步提出了《丰华兴梅产业集聚带规划》。</w:t>
      </w:r>
    </w:p>
    <w:p w:rsidR="006D75C9" w:rsidRDefault="000B15B3">
      <w:pPr>
        <w:pStyle w:val="11"/>
      </w:pPr>
      <w:r>
        <w:rPr>
          <w:rFonts w:hint="eastAsia"/>
        </w:rPr>
        <w:t>梅州市现有的客货运输站场布局的依据是原先的城市总体规划。“十一五”期间，梅州市提出了“北拓、东进、南连、中优、西南跃进”的城市空间发展战略。目前，新一轮的《梅州市城市总体规划（</w:t>
      </w:r>
      <w:r>
        <w:rPr>
          <w:rFonts w:hint="eastAsia"/>
        </w:rPr>
        <w:t>201</w:t>
      </w:r>
      <w:r w:rsidR="004C1DEA">
        <w:rPr>
          <w:rFonts w:hint="eastAsia"/>
        </w:rPr>
        <w:t>5-203</w:t>
      </w:r>
      <w:r>
        <w:rPr>
          <w:rFonts w:hint="eastAsia"/>
        </w:rPr>
        <w:t>0</w:t>
      </w:r>
      <w:r>
        <w:rPr>
          <w:rFonts w:hint="eastAsia"/>
        </w:rPr>
        <w:t>）》正在征求意见。</w:t>
      </w:r>
    </w:p>
    <w:p w:rsidR="006D75C9" w:rsidRDefault="000B15B3">
      <w:pPr>
        <w:pStyle w:val="11"/>
      </w:pPr>
      <w:r>
        <w:rPr>
          <w:rFonts w:hint="eastAsia"/>
        </w:rPr>
        <w:t>公路运输枢纽作为重要的城市基础设施，其规划必须服从和服务于城市发展的战略目标，适时根</w:t>
      </w:r>
      <w:bookmarkStart w:id="6" w:name="_GoBack"/>
      <w:bookmarkEnd w:id="6"/>
      <w:r>
        <w:rPr>
          <w:rFonts w:hint="eastAsia"/>
        </w:rPr>
        <w:t>据城市发展战略的变化编制公路运输枢纽规划，充分发挥交通基础设施的先决条件和保证作用。在梅州的城市发展过程中，客观上要求公路运输枢纽要适应城市的环境变化，科学合理的布局客货运枢纽站场，保持与城市用地规划的一致，促进梅州市新的空间布局结构的形成，推动梅州市城市的发展。</w:t>
      </w:r>
    </w:p>
    <w:p w:rsidR="006D75C9" w:rsidRDefault="000B15B3">
      <w:pPr>
        <w:pStyle w:val="3"/>
        <w:numPr>
          <w:ilvl w:val="0"/>
          <w:numId w:val="5"/>
        </w:numPr>
        <w:ind w:left="0" w:firstLineChars="200" w:firstLine="562"/>
      </w:pPr>
      <w:r>
        <w:rPr>
          <w:rFonts w:hint="eastAsia"/>
        </w:rPr>
        <w:t>推动梅州市经济社会快速发展的需要</w:t>
      </w:r>
    </w:p>
    <w:p w:rsidR="006D75C9" w:rsidRDefault="000B15B3">
      <w:pPr>
        <w:pStyle w:val="11"/>
      </w:pPr>
      <w:r>
        <w:rPr>
          <w:rFonts w:hint="eastAsia"/>
        </w:rPr>
        <w:t>从宏观发展环境看，</w:t>
      </w:r>
      <w:r>
        <w:rPr>
          <w:rFonts w:hint="eastAsia"/>
        </w:rPr>
        <w:t>2011</w:t>
      </w:r>
      <w:r>
        <w:rPr>
          <w:rFonts w:hint="eastAsia"/>
        </w:rPr>
        <w:t>年梅州成为海峡西岸经济区重要组成部分，</w:t>
      </w:r>
      <w:r>
        <w:rPr>
          <w:rFonts w:hint="eastAsia"/>
        </w:rPr>
        <w:t>2013</w:t>
      </w:r>
      <w:r>
        <w:rPr>
          <w:rFonts w:hint="eastAsia"/>
        </w:rPr>
        <w:t>年《赣闽粤原中央苏区振兴发展规划》出台</w:t>
      </w:r>
      <w:r>
        <w:t>；</w:t>
      </w:r>
      <w:r>
        <w:rPr>
          <w:rFonts w:hint="eastAsia"/>
        </w:rPr>
        <w:t>广东省实施的“东西北振兴计划”，</w:t>
      </w:r>
      <w:r>
        <w:t>珠三角</w:t>
      </w:r>
      <w:r>
        <w:rPr>
          <w:rFonts w:hint="eastAsia"/>
        </w:rPr>
        <w:t>产业转移掀起新一轮热潮</w:t>
      </w:r>
      <w:r>
        <w:t>，</w:t>
      </w:r>
      <w:r>
        <w:rPr>
          <w:rFonts w:hint="eastAsia"/>
        </w:rPr>
        <w:lastRenderedPageBreak/>
        <w:t>梅州市与广州市合作建成产业转移园，这有利于梅州市</w:t>
      </w:r>
      <w:r>
        <w:t>承接产业、资本和技术转移。</w:t>
      </w:r>
      <w:r>
        <w:rPr>
          <w:rFonts w:hint="eastAsia"/>
        </w:rPr>
        <w:t>从梅州自身发展来看，“十二五”期间，梅州市按照“</w:t>
      </w:r>
      <w:r>
        <w:rPr>
          <w:rFonts w:hint="eastAsia"/>
          <w:snapToGrid w:val="0"/>
          <w:color w:val="000000"/>
        </w:rPr>
        <w:t>三年大提速、五年上台阶、十年大跨越”的总体目标</w:t>
      </w:r>
      <w:r>
        <w:rPr>
          <w:rFonts w:hint="eastAsia"/>
        </w:rPr>
        <w:t>，不断增强经济实力；</w:t>
      </w:r>
      <w:r>
        <w:rPr>
          <w:rFonts w:hint="eastAsia"/>
        </w:rPr>
        <w:t>2015</w:t>
      </w:r>
      <w:r>
        <w:rPr>
          <w:rFonts w:hint="eastAsia"/>
        </w:rPr>
        <w:t>年，进一步提出《丰华兴梅产业集聚带规划》，不断朝着“粤、闽、赣区域性中心城市”的目标迈进。</w:t>
      </w:r>
    </w:p>
    <w:p w:rsidR="006D75C9" w:rsidRDefault="000B15B3">
      <w:pPr>
        <w:pStyle w:val="11"/>
      </w:pPr>
      <w:r>
        <w:rPr>
          <w:rFonts w:hint="eastAsia"/>
        </w:rPr>
        <w:t>交通运输是国民经济和社会发展的基础性、先导性产业和服务性行业，对经济和社会的发展具有重要的促进和拉动作用。近年来，梅州市公路交通基础设施建设速度明显加快，高速公路相继建成通车，而公路枢纽站场的建设却相对滞后，供给总能力与市场总需求间的矛盾突出，已不能适应新形势下梅州经济社会发展的需求。合理规划梅州公路枢纽站场，是推动梅州经济社会快速发展的需求。</w:t>
      </w:r>
    </w:p>
    <w:p w:rsidR="006D75C9" w:rsidRDefault="000B15B3">
      <w:pPr>
        <w:pStyle w:val="3"/>
        <w:numPr>
          <w:ilvl w:val="0"/>
          <w:numId w:val="5"/>
        </w:numPr>
        <w:ind w:left="0" w:firstLineChars="200" w:firstLine="562"/>
      </w:pPr>
      <w:r>
        <w:rPr>
          <w:rFonts w:hint="eastAsia"/>
        </w:rPr>
        <w:t>践行四个交通、实现交通现代化的需要</w:t>
      </w:r>
    </w:p>
    <w:p w:rsidR="006D75C9" w:rsidRDefault="000B15B3">
      <w:pPr>
        <w:pStyle w:val="11"/>
      </w:pPr>
      <w:r>
        <w:rPr>
          <w:rFonts w:hint="eastAsia"/>
        </w:rPr>
        <w:t>在当前和今后一个时期，交通运输行业全面深化改革，集中力量加快推进“四个交通”发展。其中综合交通是核心，智慧交通是关键，绿色交通是引领，平安交通是基础，“四个交通”相互关联，相辅相成，共同构成了推进交通运输现代化发展的有机体系。在新时期，梅州市要以发展综合交通运输为根本出发点，统筹协调各种交通方式建设，优化交通资源配置，发挥综合运输合力优势。国家公路运输枢纽是实现客运“零距离换乘”和货运“无缝衔接”的重要载体，是推进综合交通发展的重要途径，能够</w:t>
      </w:r>
      <w:r>
        <w:t>充分发挥各种运输方式的组合效率和整体优势</w:t>
      </w:r>
      <w:r>
        <w:rPr>
          <w:rFonts w:hint="eastAsia"/>
        </w:rPr>
        <w:t>，推进交通运输行业向现代服务业转变。</w:t>
      </w:r>
    </w:p>
    <w:p w:rsidR="006D75C9" w:rsidRDefault="006D75C9">
      <w:pPr>
        <w:pStyle w:val="11"/>
      </w:pPr>
    </w:p>
    <w:p w:rsidR="006D75C9" w:rsidRDefault="006D75C9">
      <w:pPr>
        <w:pStyle w:val="11"/>
      </w:pPr>
    </w:p>
    <w:p w:rsidR="006D75C9" w:rsidRDefault="000B15B3">
      <w:pPr>
        <w:pStyle w:val="1"/>
      </w:pPr>
      <w:bookmarkStart w:id="7" w:name="_Toc430166391"/>
      <w:r>
        <w:rPr>
          <w:rFonts w:hint="eastAsia"/>
        </w:rPr>
        <w:t>第三章</w:t>
      </w:r>
      <w:r>
        <w:rPr>
          <w:rFonts w:hint="eastAsia"/>
        </w:rPr>
        <w:t xml:space="preserve">  </w:t>
      </w:r>
      <w:r>
        <w:rPr>
          <w:rFonts w:hint="eastAsia"/>
        </w:rPr>
        <w:t>规划的指导思想和目标</w:t>
      </w:r>
      <w:bookmarkEnd w:id="7"/>
    </w:p>
    <w:p w:rsidR="006D75C9" w:rsidRDefault="000B15B3">
      <w:pPr>
        <w:pStyle w:val="2"/>
        <w:numPr>
          <w:ilvl w:val="1"/>
          <w:numId w:val="0"/>
        </w:numPr>
        <w:spacing w:beforeLines="200" w:before="480" w:afterLines="150" w:after="360"/>
        <w:jc w:val="center"/>
      </w:pPr>
      <w:bookmarkStart w:id="8" w:name="_Toc169428252"/>
      <w:bookmarkStart w:id="9" w:name="_Toc430166392"/>
      <w:r>
        <w:rPr>
          <w:rFonts w:hint="eastAsia"/>
        </w:rPr>
        <w:t>第一节</w:t>
      </w:r>
      <w:r>
        <w:rPr>
          <w:rFonts w:hint="eastAsia"/>
        </w:rPr>
        <w:t xml:space="preserve">  </w:t>
      </w:r>
      <w:r>
        <w:rPr>
          <w:rFonts w:hint="eastAsia"/>
        </w:rPr>
        <w:t>指导思想</w:t>
      </w:r>
      <w:bookmarkEnd w:id="8"/>
      <w:bookmarkEnd w:id="9"/>
    </w:p>
    <w:p w:rsidR="006D75C9" w:rsidRDefault="000B15B3">
      <w:pPr>
        <w:pStyle w:val="11"/>
      </w:pPr>
      <w:r>
        <w:rPr>
          <w:rFonts w:hint="eastAsia"/>
        </w:rPr>
        <w:t>深入贯彻落实科学发展观，以促进梅州市构建粤闽赣三省边区和粤东北地区区域性中心城市为目标，遵循市场需求和“以人为本、货畅其流”的综合运输发展理念，发挥并利用梅州连接珠三角地区和海峡西岸经济区的优势，与梅州城市空间布局、产业布局、交通网络分布相协调，提高梅州市综合运输服务水平，增强城市的聚集和辐射功能，推动梅州市经济社会的发展。</w:t>
      </w:r>
    </w:p>
    <w:p w:rsidR="006D75C9" w:rsidRDefault="000B15B3">
      <w:pPr>
        <w:pStyle w:val="2"/>
        <w:numPr>
          <w:ilvl w:val="1"/>
          <w:numId w:val="0"/>
        </w:numPr>
        <w:spacing w:beforeLines="200" w:before="480" w:afterLines="150" w:after="360"/>
        <w:jc w:val="center"/>
      </w:pPr>
      <w:bookmarkStart w:id="10" w:name="_Toc430166393"/>
      <w:r>
        <w:rPr>
          <w:rFonts w:hint="eastAsia"/>
        </w:rPr>
        <w:t>第二节</w:t>
      </w:r>
      <w:r>
        <w:rPr>
          <w:rFonts w:hint="eastAsia"/>
        </w:rPr>
        <w:t xml:space="preserve">  </w:t>
      </w:r>
      <w:r>
        <w:rPr>
          <w:rFonts w:hint="eastAsia"/>
        </w:rPr>
        <w:t>规划目标</w:t>
      </w:r>
      <w:bookmarkEnd w:id="10"/>
    </w:p>
    <w:p w:rsidR="006D75C9" w:rsidRDefault="000B15B3">
      <w:pPr>
        <w:pStyle w:val="11"/>
      </w:pPr>
      <w:r>
        <w:rPr>
          <w:rFonts w:hint="eastAsia"/>
        </w:rPr>
        <w:t>抓住梅州纳入国家公路运输枢纽布局的战略机遇，积极构建现代化的公路运输枢纽系统，把梅州建设成为我国重要的公路运输枢纽城市。</w:t>
      </w:r>
    </w:p>
    <w:p w:rsidR="006D75C9" w:rsidRDefault="000B15B3">
      <w:pPr>
        <w:pStyle w:val="11"/>
      </w:pPr>
      <w:r>
        <w:rPr>
          <w:rFonts w:hint="eastAsia"/>
        </w:rPr>
        <w:t>依托梅州区位优势及高速公路、铁路、航空和内河等综合交通网络优势，通过规划整合公路客货运枢纽及设施，构建布局合理、运转高效、低碳环保、与其他运输方式紧密衔接的国家公路运输枢纽。以人性化、物流化、便捷化、智能化为特征，注重与环境的和谐、与城市空间布局的协调以及不同运输方式和城市公交系统的紧密衔接，实现“客运零距离换乘”、“货运无缝衔接”的枢纽功能，将科学管理与优质服务融为一体，全面提升公路客货运输服务水平。</w:t>
      </w:r>
    </w:p>
    <w:p w:rsidR="006D75C9" w:rsidRDefault="006D75C9">
      <w:pPr>
        <w:pStyle w:val="11"/>
      </w:pPr>
    </w:p>
    <w:p w:rsidR="006D75C9" w:rsidRDefault="000B15B3">
      <w:pPr>
        <w:pStyle w:val="1"/>
      </w:pPr>
      <w:bookmarkStart w:id="11" w:name="_Toc430166394"/>
      <w:r>
        <w:rPr>
          <w:rFonts w:hint="eastAsia"/>
        </w:rPr>
        <w:t>第四章</w:t>
      </w:r>
      <w:r>
        <w:rPr>
          <w:rFonts w:hint="eastAsia"/>
        </w:rPr>
        <w:t xml:space="preserve">  </w:t>
      </w:r>
      <w:r>
        <w:rPr>
          <w:rFonts w:hint="eastAsia"/>
        </w:rPr>
        <w:t>功能定位</w:t>
      </w:r>
      <w:bookmarkEnd w:id="11"/>
    </w:p>
    <w:p w:rsidR="006D75C9" w:rsidRDefault="000B15B3">
      <w:pPr>
        <w:pStyle w:val="2"/>
        <w:numPr>
          <w:ilvl w:val="1"/>
          <w:numId w:val="0"/>
        </w:numPr>
        <w:spacing w:beforeLines="200" w:before="480" w:afterLines="150" w:after="360"/>
        <w:jc w:val="center"/>
      </w:pPr>
      <w:bookmarkStart w:id="12" w:name="_Toc430166395"/>
      <w:r>
        <w:rPr>
          <w:rFonts w:hint="eastAsia"/>
        </w:rPr>
        <w:t>第一节</w:t>
      </w:r>
      <w:r>
        <w:rPr>
          <w:rFonts w:hint="eastAsia"/>
        </w:rPr>
        <w:t xml:space="preserve">  </w:t>
      </w:r>
      <w:r>
        <w:rPr>
          <w:rFonts w:hint="eastAsia"/>
        </w:rPr>
        <w:t>战略定位</w:t>
      </w:r>
      <w:bookmarkEnd w:id="12"/>
    </w:p>
    <w:p w:rsidR="006D75C9" w:rsidRDefault="000B15B3">
      <w:pPr>
        <w:pStyle w:val="11"/>
      </w:pPr>
      <w:r>
        <w:rPr>
          <w:rFonts w:hint="eastAsia"/>
        </w:rPr>
        <w:t>国家公路运输枢纽是位于重要节点城市的国家级公路运输中心，与国家高速公路网共同构成国家最高层次公路运输基础设施。国家公路运输枢纽主要由提供与周边国家、区域之间以及大中城市之间公路运输组织及相关服务的客货运输站场组成，是保障公路运输便捷、安全、经济、可靠的重要基础设施，是国家综合运输体系的重要组成部分。</w:t>
      </w:r>
    </w:p>
    <w:p w:rsidR="006D75C9" w:rsidRDefault="000B15B3">
      <w:pPr>
        <w:pStyle w:val="11"/>
      </w:pPr>
      <w:r>
        <w:rPr>
          <w:rFonts w:hint="eastAsia"/>
        </w:rPr>
        <w:t>梅州作为国家公路运输网络的节点城市，在国家的发展战略中应</w:t>
      </w:r>
      <w:r>
        <w:rPr>
          <w:rFonts w:hint="eastAsia"/>
          <w:b/>
        </w:rPr>
        <w:t>立足广东省，面向闽赣，构建粤闽赣</w:t>
      </w:r>
      <w:r>
        <w:rPr>
          <w:rFonts w:hint="eastAsia"/>
          <w:b/>
          <w:spacing w:val="8"/>
        </w:rPr>
        <w:t>边区区域性</w:t>
      </w:r>
      <w:r>
        <w:rPr>
          <w:rFonts w:hint="eastAsia"/>
          <w:b/>
        </w:rPr>
        <w:t>中心城市</w:t>
      </w:r>
      <w:r>
        <w:rPr>
          <w:rFonts w:hint="eastAsia"/>
        </w:rPr>
        <w:t>。梅州国家公路运输枢纽的战略定位主要表现在以下四方面：</w:t>
      </w:r>
    </w:p>
    <w:p w:rsidR="006D75C9" w:rsidRDefault="000B15B3">
      <w:pPr>
        <w:pStyle w:val="3"/>
        <w:numPr>
          <w:ilvl w:val="0"/>
          <w:numId w:val="6"/>
        </w:numPr>
        <w:ind w:left="0" w:firstLineChars="200" w:firstLine="562"/>
      </w:pPr>
      <w:r>
        <w:rPr>
          <w:rFonts w:hint="eastAsia"/>
        </w:rPr>
        <w:t>构建粤闽赣边区区域性中心城市的重要支撑</w:t>
      </w:r>
    </w:p>
    <w:p w:rsidR="006D75C9" w:rsidRDefault="000B15B3">
      <w:pPr>
        <w:pStyle w:val="11"/>
      </w:pPr>
      <w:r>
        <w:rPr>
          <w:rFonts w:hint="eastAsia"/>
        </w:rPr>
        <w:t>利用梅州位于粤闽赣三省</w:t>
      </w:r>
      <w:r>
        <w:rPr>
          <w:rFonts w:hint="eastAsia"/>
          <w:spacing w:val="8"/>
        </w:rPr>
        <w:t>边区</w:t>
      </w:r>
      <w:r>
        <w:rPr>
          <w:rFonts w:hint="eastAsia"/>
        </w:rPr>
        <w:t>的区位优势，充分发挥公路运输枢纽连接国家高速公路网与城市交通网络、有效衔接各种运输方式的作用，保障区域内外旅客与货物的安全与畅通，为梅州构建粤闽赣</w:t>
      </w:r>
      <w:r>
        <w:rPr>
          <w:rFonts w:hint="eastAsia"/>
          <w:spacing w:val="8"/>
        </w:rPr>
        <w:t>边区区域性</w:t>
      </w:r>
      <w:r>
        <w:rPr>
          <w:rFonts w:hint="eastAsia"/>
        </w:rPr>
        <w:t>中心城市提供重要支撑。</w:t>
      </w:r>
    </w:p>
    <w:p w:rsidR="006D75C9" w:rsidRDefault="000B15B3">
      <w:pPr>
        <w:pStyle w:val="3"/>
        <w:numPr>
          <w:ilvl w:val="0"/>
          <w:numId w:val="6"/>
        </w:numPr>
        <w:ind w:left="0" w:firstLineChars="200" w:firstLine="562"/>
      </w:pPr>
      <w:r>
        <w:rPr>
          <w:rFonts w:hint="eastAsia"/>
        </w:rPr>
        <w:t>梅州综合交通运输一体化发展的基础条件</w:t>
      </w:r>
    </w:p>
    <w:p w:rsidR="006D75C9" w:rsidRDefault="000B15B3">
      <w:pPr>
        <w:pStyle w:val="11"/>
      </w:pPr>
      <w:r>
        <w:rPr>
          <w:rFonts w:hint="eastAsia"/>
        </w:rPr>
        <w:t>公路运输枢纽能有效衔接公路、铁路、水运、港口等各种运输方式，是梅州综合交通运输一体化发展的重要枢纽节点，依托于枢纽场站加快梅州城市建设，形成一批布局合理、与对内对外交通紧密衔接的综合性枢纽，是构筑梅州现代化综合交通运输体</w:t>
      </w:r>
      <w:r>
        <w:rPr>
          <w:rFonts w:hint="eastAsia"/>
        </w:rPr>
        <w:lastRenderedPageBreak/>
        <w:t>系的基础条件和必要保障。</w:t>
      </w:r>
    </w:p>
    <w:p w:rsidR="006D75C9" w:rsidRDefault="000B15B3">
      <w:pPr>
        <w:pStyle w:val="3"/>
        <w:numPr>
          <w:ilvl w:val="0"/>
          <w:numId w:val="6"/>
        </w:numPr>
        <w:ind w:left="0" w:firstLineChars="200" w:firstLine="562"/>
      </w:pPr>
      <w:r>
        <w:rPr>
          <w:rFonts w:hint="eastAsia"/>
        </w:rPr>
        <w:t>梅州发展集约经济与交通的有效载体</w:t>
      </w:r>
    </w:p>
    <w:p w:rsidR="006D75C9" w:rsidRDefault="000B15B3">
      <w:pPr>
        <w:pStyle w:val="11"/>
      </w:pPr>
      <w:r>
        <w:rPr>
          <w:rFonts w:hint="eastAsia"/>
        </w:rPr>
        <w:t>以枢纽场站作为重要手段，通过充分的市场竞争，将若干企业组合在一起形成公路运输企业集团，便于企业融入全球物流供需链的细分行业市场，形成公路运输集约经济，发展集约交通。</w:t>
      </w:r>
    </w:p>
    <w:p w:rsidR="006D75C9" w:rsidRDefault="000B15B3">
      <w:pPr>
        <w:pStyle w:val="3"/>
        <w:numPr>
          <w:ilvl w:val="0"/>
          <w:numId w:val="6"/>
        </w:numPr>
        <w:ind w:left="0" w:firstLineChars="200" w:firstLine="562"/>
      </w:pPr>
      <w:r>
        <w:rPr>
          <w:rFonts w:hint="eastAsia"/>
        </w:rPr>
        <w:t>发展城乡交通、推进新型城镇化的重要手段</w:t>
      </w:r>
    </w:p>
    <w:p w:rsidR="006D75C9" w:rsidRDefault="000B15B3">
      <w:pPr>
        <w:pStyle w:val="11"/>
      </w:pPr>
      <w:r>
        <w:rPr>
          <w:rFonts w:hint="eastAsia"/>
        </w:rPr>
        <w:t>以高速公路和通乡通村公路为依托，结合国家及地方干线铁路发展契机，合理调整不同运输方式结构，针对梅州运输特点，以枢纽站场为依托，加快发展城乡一体化旅客运输，实现“点、线、面”中短距离、全覆盖的公路运输网络，为加快新型城镇化进程提供基础支撑。</w:t>
      </w:r>
    </w:p>
    <w:p w:rsidR="006D75C9" w:rsidRDefault="000B15B3">
      <w:pPr>
        <w:pStyle w:val="2"/>
        <w:numPr>
          <w:ilvl w:val="1"/>
          <w:numId w:val="0"/>
        </w:numPr>
        <w:spacing w:beforeLines="200" w:before="480" w:afterLines="150" w:after="360"/>
        <w:jc w:val="center"/>
      </w:pPr>
      <w:bookmarkStart w:id="13" w:name="_Toc430166396"/>
      <w:r>
        <w:rPr>
          <w:rFonts w:hint="eastAsia"/>
        </w:rPr>
        <w:t>第二节</w:t>
      </w:r>
      <w:r>
        <w:rPr>
          <w:rFonts w:hint="eastAsia"/>
        </w:rPr>
        <w:t xml:space="preserve">  </w:t>
      </w:r>
      <w:r>
        <w:rPr>
          <w:rFonts w:hint="eastAsia"/>
        </w:rPr>
        <w:t>市场需求</w:t>
      </w:r>
      <w:bookmarkEnd w:id="13"/>
    </w:p>
    <w:p w:rsidR="006D75C9" w:rsidRDefault="000B15B3">
      <w:pPr>
        <w:pStyle w:val="3"/>
        <w:numPr>
          <w:ilvl w:val="0"/>
          <w:numId w:val="7"/>
        </w:numPr>
        <w:ind w:left="0" w:firstLineChars="200" w:firstLine="562"/>
      </w:pPr>
      <w:r>
        <w:rPr>
          <w:rFonts w:hint="eastAsia"/>
        </w:rPr>
        <w:t>客运市场需求</w:t>
      </w:r>
    </w:p>
    <w:p w:rsidR="006D75C9" w:rsidRDefault="000B15B3">
      <w:pPr>
        <w:pStyle w:val="11"/>
        <w:spacing w:before="120"/>
      </w:pPr>
      <w:r>
        <w:rPr>
          <w:rFonts w:hint="eastAsia"/>
        </w:rPr>
        <w:t>——梅州的城市定位是粤闽赣三省边区和粤东北地区的区域性中心城市，是人员集散的重要节点。随着梅州的对外辐射范围的进一步扩大，人员集聚效应将更加明显，城市对外经济联系以及枢纽城市地位所带来的长途旅客运输将仍以公路为主。同时，区域高速公路网将逐步完善，公路运输服务水平和运输能力将大大提高，相应的跨省、跨市的中长途旅客运输将快速发展并实现持续增长，这是梅州公路客运枢纽的主要需求。</w:t>
      </w:r>
    </w:p>
    <w:p w:rsidR="006D75C9" w:rsidRDefault="000B15B3">
      <w:pPr>
        <w:pStyle w:val="11"/>
        <w:spacing w:before="120"/>
      </w:pPr>
      <w:r>
        <w:rPr>
          <w:rFonts w:hint="eastAsia"/>
        </w:rPr>
        <w:t>——未来梅州市的城市化水平将不断提高，梅州市区的人流集聚效应相应将日益增强，市区与市域内县市间的短途公路客运</w:t>
      </w:r>
      <w:r>
        <w:rPr>
          <w:rFonts w:hint="eastAsia"/>
        </w:rPr>
        <w:lastRenderedPageBreak/>
        <w:t>需求将快速增长。同时，</w:t>
      </w:r>
      <w:r>
        <w:t>梅州是劳务输出大市，</w:t>
      </w:r>
      <w:r>
        <w:rPr>
          <w:rFonts w:hint="eastAsia"/>
        </w:rPr>
        <w:t>每年外出务工约</w:t>
      </w:r>
      <w:r>
        <w:rPr>
          <w:rFonts w:hint="eastAsia"/>
        </w:rPr>
        <w:t>92</w:t>
      </w:r>
      <w:r>
        <w:t>万人</w:t>
      </w:r>
      <w:r>
        <w:rPr>
          <w:rFonts w:hint="eastAsia"/>
        </w:rPr>
        <w:t>次</w:t>
      </w:r>
      <w:r>
        <w:t>，</w:t>
      </w:r>
      <w:r>
        <w:rPr>
          <w:rFonts w:hint="eastAsia"/>
        </w:rPr>
        <w:t>务工客流在梅州市域范围内的出行主要依靠公路运输。因此，</w:t>
      </w:r>
      <w:r>
        <w:rPr>
          <w:rFonts w:hint="eastAsia"/>
          <w:spacing w:val="8"/>
        </w:rPr>
        <w:t>市域内的短途旅客运输</w:t>
      </w:r>
      <w:r>
        <w:rPr>
          <w:rFonts w:hint="eastAsia"/>
        </w:rPr>
        <w:t>是梅州市公路客运枢纽的重要需求。</w:t>
      </w:r>
    </w:p>
    <w:p w:rsidR="006D75C9" w:rsidRDefault="000B15B3">
      <w:pPr>
        <w:pStyle w:val="11"/>
        <w:ind w:firstLine="592"/>
      </w:pPr>
      <w:r>
        <w:rPr>
          <w:rFonts w:hint="eastAsia"/>
          <w:spacing w:val="8"/>
        </w:rPr>
        <w:t>——梅汕客专、梅州至龙岩高铁、梅州至龙川高铁</w:t>
      </w:r>
      <w:r>
        <w:rPr>
          <w:rFonts w:hint="eastAsia"/>
        </w:rPr>
        <w:t>在梅州相连，梅州火车站的旅客发送量约占全市铁路客运量的</w:t>
      </w:r>
      <w:r>
        <w:rPr>
          <w:rFonts w:hint="eastAsia"/>
        </w:rPr>
        <w:t>30%</w:t>
      </w:r>
      <w:r>
        <w:rPr>
          <w:rFonts w:hint="eastAsia"/>
        </w:rPr>
        <w:t>。随着梅汕客专、梅州至龙岩高铁、梅州至龙川高铁</w:t>
      </w:r>
      <w:r>
        <w:rPr>
          <w:rFonts w:ascii="ˎ̥" w:hAnsi="ˎ̥" w:hint="eastAsia"/>
          <w:color w:val="000000"/>
        </w:rPr>
        <w:t>和</w:t>
      </w:r>
      <w:r>
        <w:rPr>
          <w:rFonts w:hint="eastAsia"/>
        </w:rPr>
        <w:t>鹰梅铁路、浦梅铁路的建设，梅州西高铁客运站的建成，铁路客运量将迅速增长。这对公路集疏运水平提出了较高要求，公路客运枢纽需要发挥公路运输灵活、快捷的优势，为铁路旅客提供高效便捷的集疏运服务。</w:t>
      </w:r>
    </w:p>
    <w:p w:rsidR="006D75C9" w:rsidRDefault="000B15B3">
      <w:pPr>
        <w:pStyle w:val="11"/>
        <w:ind w:firstLine="592"/>
      </w:pPr>
      <w:r>
        <w:rPr>
          <w:rFonts w:hint="eastAsia"/>
          <w:spacing w:val="8"/>
        </w:rPr>
        <w:t>——</w:t>
      </w:r>
      <w:r>
        <w:rPr>
          <w:rFonts w:hint="eastAsia"/>
        </w:rPr>
        <w:t>梅州境内旅游资源丰富且在广东省独具特色，</w:t>
      </w:r>
      <w:r>
        <w:t>20</w:t>
      </w:r>
      <w:r>
        <w:rPr>
          <w:rFonts w:hint="eastAsia"/>
        </w:rPr>
        <w:t>13</w:t>
      </w:r>
      <w:r>
        <w:t>年</w:t>
      </w:r>
      <w:r>
        <w:rPr>
          <w:rFonts w:hint="eastAsia"/>
        </w:rPr>
        <w:t>梅州市</w:t>
      </w:r>
      <w:r>
        <w:t>共接待海内外游客</w:t>
      </w:r>
      <w:r>
        <w:rPr>
          <w:rFonts w:hint="eastAsia"/>
        </w:rPr>
        <w:t>1209.8</w:t>
      </w:r>
      <w:r>
        <w:t>万人次</w:t>
      </w:r>
      <w:r>
        <w:rPr>
          <w:rFonts w:hint="eastAsia"/>
        </w:rPr>
        <w:t>。随着旅游资源的深度开发和配套服务设施的改进，梅州在旅游方面的吸引力将逐步提升，同时人民生活水平提高后将会有更多外出旅游度假的需求。</w:t>
      </w:r>
      <w:r>
        <w:t>公路客运枢纽需要为旅游旅客提供个性化运输服务</w:t>
      </w:r>
      <w:r>
        <w:rPr>
          <w:rFonts w:hint="eastAsia"/>
        </w:rPr>
        <w:t>。</w:t>
      </w:r>
    </w:p>
    <w:p w:rsidR="006D75C9" w:rsidRDefault="000B15B3">
      <w:pPr>
        <w:pStyle w:val="3"/>
        <w:numPr>
          <w:ilvl w:val="0"/>
          <w:numId w:val="7"/>
        </w:numPr>
        <w:ind w:left="0" w:firstLineChars="200" w:firstLine="562"/>
      </w:pPr>
      <w:r>
        <w:rPr>
          <w:rFonts w:hint="eastAsia"/>
        </w:rPr>
        <w:t>货运市场需求</w:t>
      </w:r>
    </w:p>
    <w:p w:rsidR="006D75C9" w:rsidRDefault="000B15B3">
      <w:pPr>
        <w:pStyle w:val="11"/>
      </w:pPr>
      <w:r>
        <w:rPr>
          <w:rFonts w:hint="eastAsia"/>
        </w:rPr>
        <w:t>——工业是梅州的立市之本，工业园区的快速发展需要有配套的物流中心为园区内集中布局的工业企业提供服务，在园区发展初期，企业的需求可能仅仅是仓储、运输，但发展到中后期，随着企业生产效率的提高，对于第三方物流的需求会快速发展，需要物流企业提供的服务会延伸至原材料、半成品、产成品的运输、仓储以及包装、流通、加工等方面。梅州公路货运枢纽要为工业园区的发展提供服务。</w:t>
      </w:r>
    </w:p>
    <w:p w:rsidR="006D75C9" w:rsidRDefault="000B15B3">
      <w:pPr>
        <w:pStyle w:val="11"/>
      </w:pPr>
      <w:r>
        <w:rPr>
          <w:rFonts w:hint="eastAsia"/>
        </w:rPr>
        <w:t>——在梅州构建粤、闽、赣三省边区重要的商业中心与物流中心的过程中，必然会形成大量的货物集散、中转和货运车辆的</w:t>
      </w:r>
      <w:r>
        <w:rPr>
          <w:rFonts w:hint="eastAsia"/>
        </w:rPr>
        <w:lastRenderedPageBreak/>
        <w:t>集散。梅州公路货运枢纽要服务于商业物流的发展。</w:t>
      </w:r>
    </w:p>
    <w:p w:rsidR="006D75C9" w:rsidRDefault="000B15B3">
      <w:pPr>
        <w:pStyle w:val="11"/>
      </w:pPr>
      <w:r>
        <w:rPr>
          <w:rFonts w:hint="eastAsia"/>
        </w:rPr>
        <w:t>——梅州市作为一个山区农业大市，拥有众多有特色、有优势的农产品及其深加工产品，这些产品现已远销全国各地并出口海外。梅州市要</w:t>
      </w:r>
      <w:r>
        <w:t>打造</w:t>
      </w:r>
      <w:r>
        <w:rPr>
          <w:rFonts w:hint="eastAsia"/>
        </w:rPr>
        <w:t>成为</w:t>
      </w:r>
      <w:r>
        <w:t>广东省重要的农产品食品出口基地</w:t>
      </w:r>
      <w:r>
        <w:rPr>
          <w:rFonts w:hint="eastAsia"/>
        </w:rPr>
        <w:t>。因此，公路货运枢纽站场要为农业产业化的发展提供专业化的仓储、运输等诸多服务。</w:t>
      </w:r>
    </w:p>
    <w:p w:rsidR="006D75C9" w:rsidRDefault="000B15B3">
      <w:pPr>
        <w:pStyle w:val="11"/>
      </w:pPr>
      <w:r>
        <w:rPr>
          <w:rFonts w:hint="eastAsia"/>
        </w:rPr>
        <w:t>——综合货运体系的发展是现代化交通运输服务的主要表征。</w:t>
      </w:r>
      <w:r>
        <w:rPr>
          <w:rFonts w:hint="eastAsia"/>
          <w:spacing w:val="0"/>
        </w:rPr>
        <w:t>梅州</w:t>
      </w:r>
      <w:r>
        <w:rPr>
          <w:spacing w:val="0"/>
        </w:rPr>
        <w:t>公路运输枢纽必须从综合运输角度出发，有效衔接</w:t>
      </w:r>
      <w:r>
        <w:rPr>
          <w:rFonts w:hint="eastAsia"/>
          <w:spacing w:val="0"/>
        </w:rPr>
        <w:t>铁路站场、港口和机场</w:t>
      </w:r>
      <w:r>
        <w:rPr>
          <w:spacing w:val="0"/>
        </w:rPr>
        <w:t>，发挥公路运输的集散、衔接作用，促进地区多式联运发展和综合运输体系的形成。</w:t>
      </w:r>
    </w:p>
    <w:p w:rsidR="006D75C9" w:rsidRDefault="000B15B3">
      <w:pPr>
        <w:pStyle w:val="11"/>
        <w:rPr>
          <w:rFonts w:ascii="宋体" w:hAnsi="宋体"/>
        </w:rPr>
      </w:pPr>
      <w:r>
        <w:rPr>
          <w:rFonts w:hint="eastAsia"/>
        </w:rPr>
        <w:t>——城市化的进程将会产生大量城市物流配送业务。</w:t>
      </w:r>
      <w:r>
        <w:rPr>
          <w:rFonts w:ascii="宋体" w:hAnsi="宋体" w:hint="eastAsia"/>
        </w:rPr>
        <w:t>随着城市发展，</w:t>
      </w:r>
      <w:r>
        <w:rPr>
          <w:rFonts w:hint="eastAsia"/>
        </w:rPr>
        <w:t>市区范围内会对大型货车限行，大型货车运输货物到达市区后需要在城市外围有货运站场为其提供中转仓储服务，再由小型货车把这些货物送到大型专业市场和综合超市。</w:t>
      </w:r>
      <w:r>
        <w:rPr>
          <w:rFonts w:ascii="宋体" w:hAnsi="宋体" w:hint="eastAsia"/>
        </w:rPr>
        <w:t>随着居民生活品质提高，商家竞争日臻激烈，对运输服务时效性、个性化要求更高，城市配送业务将迅速发展。因此，公路货运枢纽也要服务于城市物流配送业务。</w:t>
      </w:r>
    </w:p>
    <w:p w:rsidR="006D75C9" w:rsidRDefault="000B15B3">
      <w:pPr>
        <w:pStyle w:val="11"/>
      </w:pPr>
      <w:r>
        <w:rPr>
          <w:rFonts w:hint="eastAsia"/>
        </w:rPr>
        <w:t>——甩挂运输是现代化公路运输重要特征之一，开展甩挂运输，不仅需要有稳定而充足的货源，同时必须要提供甩挂场地等相关基础设施以及物流信息平台等。梅州市具备发展甩挂运输的货源条件；其货运枢纽站场也要服务于甩挂运输。</w:t>
      </w:r>
    </w:p>
    <w:p w:rsidR="006D75C9" w:rsidRDefault="000B15B3">
      <w:pPr>
        <w:pStyle w:val="2"/>
        <w:numPr>
          <w:ilvl w:val="1"/>
          <w:numId w:val="0"/>
        </w:numPr>
        <w:spacing w:beforeLines="200" w:before="480" w:afterLines="150" w:after="360"/>
        <w:jc w:val="center"/>
      </w:pPr>
      <w:bookmarkStart w:id="14" w:name="_Toc430166397"/>
      <w:r>
        <w:rPr>
          <w:rFonts w:hint="eastAsia"/>
        </w:rPr>
        <w:lastRenderedPageBreak/>
        <w:t>第三节</w:t>
      </w:r>
      <w:r>
        <w:rPr>
          <w:rFonts w:hint="eastAsia"/>
        </w:rPr>
        <w:t xml:space="preserve">  </w:t>
      </w:r>
      <w:r>
        <w:rPr>
          <w:rFonts w:hint="eastAsia"/>
        </w:rPr>
        <w:t>枢纽功能</w:t>
      </w:r>
      <w:bookmarkEnd w:id="14"/>
    </w:p>
    <w:p w:rsidR="006D75C9" w:rsidRDefault="000B15B3">
      <w:pPr>
        <w:pStyle w:val="3"/>
        <w:numPr>
          <w:ilvl w:val="0"/>
          <w:numId w:val="8"/>
        </w:numPr>
        <w:ind w:left="0" w:firstLineChars="200" w:firstLine="562"/>
      </w:pPr>
      <w:r>
        <w:rPr>
          <w:rFonts w:hint="eastAsia"/>
        </w:rPr>
        <w:t>客运枢纽服务功能</w:t>
      </w:r>
    </w:p>
    <w:p w:rsidR="006D75C9" w:rsidRDefault="000B15B3">
      <w:pPr>
        <w:pStyle w:val="11"/>
      </w:pPr>
      <w:r>
        <w:rPr>
          <w:rFonts w:hint="eastAsia"/>
        </w:rPr>
        <w:t>客运枢纽在功能上应体现客运便捷化和以人为本的服务理念，具备运输生产组织、站场作业、中转换乘、通信信息、辅助服务等五项基本服务功能。</w:t>
      </w:r>
    </w:p>
    <w:p w:rsidR="006D75C9" w:rsidRDefault="000B15B3">
      <w:pPr>
        <w:pStyle w:val="11"/>
        <w:ind w:firstLine="602"/>
      </w:pPr>
      <w:r>
        <w:rPr>
          <w:rFonts w:hint="eastAsia"/>
          <w:b/>
        </w:rPr>
        <w:t>——运输生产组织功能</w:t>
      </w:r>
    </w:p>
    <w:p w:rsidR="006D75C9" w:rsidRDefault="000B15B3">
      <w:pPr>
        <w:pStyle w:val="11"/>
      </w:pPr>
      <w:r>
        <w:rPr>
          <w:rFonts w:hint="eastAsia"/>
        </w:rPr>
        <w:t>根据客流的流量、流向及其时间分布特点，为参营车辆安排运营班次，确定发车时刻、制定运输计划、组织运输的生产活动。</w:t>
      </w:r>
    </w:p>
    <w:p w:rsidR="006D75C9" w:rsidRDefault="000B15B3">
      <w:pPr>
        <w:pStyle w:val="11"/>
        <w:ind w:firstLine="602"/>
      </w:pPr>
      <w:r>
        <w:rPr>
          <w:rFonts w:hint="eastAsia"/>
          <w:b/>
        </w:rPr>
        <w:t>——站场作业基本功能</w:t>
      </w:r>
    </w:p>
    <w:p w:rsidR="006D75C9" w:rsidRDefault="000B15B3">
      <w:pPr>
        <w:pStyle w:val="11"/>
      </w:pPr>
      <w:r>
        <w:rPr>
          <w:rFonts w:hint="eastAsia"/>
        </w:rPr>
        <w:t>为旅客提供问讯、购票、候车、检票以及行包托运和提取等基本服务；对运输车辆进行组织调度、接发、行包装卸和有关运输手续的交接、费用结算等生产服务；具备为快速客运等提供站务服务的功能条件，满足不同客运形式对客运枢纽站的要求。</w:t>
      </w:r>
    </w:p>
    <w:p w:rsidR="006D75C9" w:rsidRDefault="000B15B3">
      <w:pPr>
        <w:pStyle w:val="11"/>
        <w:ind w:firstLine="602"/>
        <w:rPr>
          <w:b/>
        </w:rPr>
      </w:pPr>
      <w:r>
        <w:rPr>
          <w:rFonts w:hint="eastAsia"/>
          <w:b/>
        </w:rPr>
        <w:t>——通信信息服务功能</w:t>
      </w:r>
    </w:p>
    <w:p w:rsidR="006D75C9" w:rsidRDefault="000B15B3">
      <w:pPr>
        <w:pStyle w:val="11"/>
      </w:pPr>
      <w:r>
        <w:rPr>
          <w:rFonts w:hint="eastAsia"/>
        </w:rPr>
        <w:t>通过计算机和通信技术，依托互联网，满足旅客出行和中转换乘的要求，提供运输枢纽所在地不同客运站之间的联网售票、城市与城市之间的异地售票，以及与铁路、航空之间的联网售票、信息查询分析处理等，提供一系列通信信息服务功能。</w:t>
      </w:r>
    </w:p>
    <w:p w:rsidR="006D75C9" w:rsidRDefault="000B15B3">
      <w:pPr>
        <w:pStyle w:val="11"/>
        <w:ind w:firstLine="602"/>
        <w:rPr>
          <w:b/>
        </w:rPr>
      </w:pPr>
      <w:r>
        <w:rPr>
          <w:rFonts w:hint="eastAsia"/>
          <w:b/>
        </w:rPr>
        <w:t>——中转换乘功能</w:t>
      </w:r>
    </w:p>
    <w:p w:rsidR="006D75C9" w:rsidRDefault="000B15B3">
      <w:pPr>
        <w:pStyle w:val="11"/>
      </w:pPr>
      <w:r>
        <w:rPr>
          <w:rFonts w:hint="eastAsia"/>
        </w:rPr>
        <w:t>利用良好的交通位置、完善的实施，以及现代化的管理手段，为旅客提供不同运输线路之间、公路与其他运输方式之间，以及公路与市内交通之间便利的换乘服务，实现各运输方式间“零距离换乘”。</w:t>
      </w:r>
    </w:p>
    <w:p w:rsidR="006D75C9" w:rsidRDefault="000B15B3">
      <w:pPr>
        <w:pStyle w:val="11"/>
        <w:ind w:firstLine="602"/>
        <w:rPr>
          <w:b/>
        </w:rPr>
      </w:pPr>
      <w:r>
        <w:rPr>
          <w:rFonts w:hint="eastAsia"/>
          <w:b/>
        </w:rPr>
        <w:lastRenderedPageBreak/>
        <w:t>——其他辅助服务功能</w:t>
      </w:r>
    </w:p>
    <w:p w:rsidR="006D75C9" w:rsidRDefault="000B15B3">
      <w:pPr>
        <w:pStyle w:val="11"/>
      </w:pPr>
      <w:r>
        <w:rPr>
          <w:rFonts w:hint="eastAsia"/>
        </w:rPr>
        <w:t>为旅客和司乘人员提供必要的食宿、购物、娱乐等辅助服务；为运输车辆提供检测、维修、保养、加油、清洗等辅助服务。</w:t>
      </w:r>
    </w:p>
    <w:p w:rsidR="006D75C9" w:rsidRDefault="000B15B3">
      <w:pPr>
        <w:pStyle w:val="11"/>
        <w:ind w:firstLine="602"/>
        <w:rPr>
          <w:b/>
        </w:rPr>
      </w:pPr>
      <w:r>
        <w:rPr>
          <w:rFonts w:hint="eastAsia"/>
          <w:b/>
        </w:rPr>
        <w:t>——具有标志性功能</w:t>
      </w:r>
    </w:p>
    <w:p w:rsidR="006D75C9" w:rsidRDefault="000B15B3">
      <w:pPr>
        <w:pStyle w:val="11"/>
      </w:pPr>
      <w:r>
        <w:rPr>
          <w:rFonts w:hint="eastAsia"/>
        </w:rPr>
        <w:t>主要指综合性客运换乘枢纽，一般都成为该城市的代表形象，具有标志性的功能。通过综合客运枢纽站场提供的多种形式服务，使得站场与周边环境融为一体，带动和促进片区的发展。</w:t>
      </w:r>
    </w:p>
    <w:p w:rsidR="006D75C9" w:rsidRDefault="000B15B3">
      <w:pPr>
        <w:pStyle w:val="3"/>
        <w:numPr>
          <w:ilvl w:val="0"/>
          <w:numId w:val="8"/>
        </w:numPr>
        <w:ind w:left="0" w:firstLineChars="200" w:firstLine="562"/>
      </w:pPr>
      <w:r>
        <w:rPr>
          <w:rFonts w:hint="eastAsia"/>
        </w:rPr>
        <w:t>货运枢纽服务功能</w:t>
      </w:r>
    </w:p>
    <w:p w:rsidR="006D75C9" w:rsidRDefault="000B15B3">
      <w:pPr>
        <w:pStyle w:val="11"/>
      </w:pPr>
      <w:r>
        <w:rPr>
          <w:rFonts w:hint="eastAsia"/>
        </w:rPr>
        <w:t>货运在功能上应体现“物流化”的服务理念，具备运输生产组织、中转换装、装卸储存、货运代理、辅助服务、物流增值服务、通信信息服务等七项基本服务功能。</w:t>
      </w:r>
    </w:p>
    <w:p w:rsidR="006D75C9" w:rsidRDefault="000B15B3">
      <w:pPr>
        <w:pStyle w:val="11"/>
        <w:ind w:firstLine="602"/>
        <w:rPr>
          <w:b/>
        </w:rPr>
      </w:pPr>
      <w:r>
        <w:rPr>
          <w:rFonts w:hint="eastAsia"/>
          <w:b/>
        </w:rPr>
        <w:t>——运输生产组织功能</w:t>
      </w:r>
    </w:p>
    <w:p w:rsidR="006D75C9" w:rsidRDefault="000B15B3">
      <w:pPr>
        <w:pStyle w:val="11"/>
      </w:pPr>
      <w:r>
        <w:rPr>
          <w:rFonts w:hint="eastAsia"/>
        </w:rPr>
        <w:t>具有公路集装箱、快件和零担等运输的生产组织功能，使运输组织形式科学合理。</w:t>
      </w:r>
    </w:p>
    <w:p w:rsidR="006D75C9" w:rsidRDefault="000B15B3">
      <w:pPr>
        <w:pStyle w:val="11"/>
        <w:ind w:firstLine="602"/>
        <w:rPr>
          <w:b/>
        </w:rPr>
      </w:pPr>
      <w:r>
        <w:rPr>
          <w:rFonts w:hint="eastAsia"/>
          <w:b/>
        </w:rPr>
        <w:t>——中转换装功能</w:t>
      </w:r>
    </w:p>
    <w:p w:rsidR="006D75C9" w:rsidRDefault="000B15B3">
      <w:pPr>
        <w:pStyle w:val="11"/>
      </w:pPr>
      <w:r>
        <w:rPr>
          <w:rFonts w:hint="eastAsia"/>
        </w:rPr>
        <w:t>为集疏运铁路、港口、航空港，或者为满足不同运输方式之间，以及公路不同货运班线之间的货物转运提供便利的中转换装条件，合理组织多式联运，实现各运输方式间“无缝衔接”目标。</w:t>
      </w:r>
    </w:p>
    <w:p w:rsidR="006D75C9" w:rsidRDefault="000B15B3">
      <w:pPr>
        <w:pStyle w:val="11"/>
        <w:ind w:firstLine="602"/>
        <w:rPr>
          <w:b/>
        </w:rPr>
      </w:pPr>
      <w:r>
        <w:rPr>
          <w:rFonts w:hint="eastAsia"/>
          <w:b/>
        </w:rPr>
        <w:t>——装卸储存功能</w:t>
      </w:r>
    </w:p>
    <w:p w:rsidR="006D75C9" w:rsidRDefault="000B15B3">
      <w:pPr>
        <w:pStyle w:val="11"/>
      </w:pPr>
      <w:r>
        <w:rPr>
          <w:rFonts w:hint="eastAsia"/>
        </w:rPr>
        <w:t>为货物运输过程中的中转换装、搬运装卸、储存保管、分发配送提供设施设备和作业服务。</w:t>
      </w:r>
    </w:p>
    <w:p w:rsidR="006D75C9" w:rsidRDefault="000B15B3">
      <w:pPr>
        <w:pStyle w:val="11"/>
        <w:keepNext/>
        <w:ind w:firstLine="602"/>
        <w:rPr>
          <w:b/>
        </w:rPr>
      </w:pPr>
      <w:r>
        <w:rPr>
          <w:rFonts w:hint="eastAsia"/>
          <w:b/>
        </w:rPr>
        <w:lastRenderedPageBreak/>
        <w:t>——货运代理功能</w:t>
      </w:r>
    </w:p>
    <w:p w:rsidR="006D75C9" w:rsidRDefault="000B15B3">
      <w:pPr>
        <w:pStyle w:val="11"/>
      </w:pPr>
      <w:r>
        <w:rPr>
          <w:rFonts w:hint="eastAsia"/>
        </w:rPr>
        <w:t>接受货主委托，承担运输代理，选择最佳的运输线路，合理组织多式联运，代办货物运输过程中的报关、仓储保管、分发与配送、金融结算。</w:t>
      </w:r>
    </w:p>
    <w:p w:rsidR="006D75C9" w:rsidRDefault="000B15B3">
      <w:pPr>
        <w:pStyle w:val="11"/>
        <w:keepNext/>
        <w:ind w:firstLine="602"/>
        <w:rPr>
          <w:b/>
        </w:rPr>
      </w:pPr>
      <w:r>
        <w:rPr>
          <w:rFonts w:hint="eastAsia"/>
          <w:b/>
        </w:rPr>
        <w:t>——物流增值服务功能</w:t>
      </w:r>
    </w:p>
    <w:p w:rsidR="006D75C9" w:rsidRDefault="000B15B3">
      <w:pPr>
        <w:pStyle w:val="11"/>
      </w:pPr>
      <w:r>
        <w:rPr>
          <w:rFonts w:hint="eastAsia"/>
        </w:rPr>
        <w:t>包括产品分类、流通加工、包装、存货管理、订单处理、物流信息处理、物流系统设计等一系列综合物流服务。</w:t>
      </w:r>
    </w:p>
    <w:p w:rsidR="006D75C9" w:rsidRDefault="000B15B3">
      <w:pPr>
        <w:pStyle w:val="11"/>
        <w:ind w:firstLine="602"/>
        <w:rPr>
          <w:b/>
        </w:rPr>
      </w:pPr>
      <w:r>
        <w:rPr>
          <w:rFonts w:hint="eastAsia"/>
          <w:b/>
        </w:rPr>
        <w:t>——通信信息服务功能</w:t>
      </w:r>
    </w:p>
    <w:p w:rsidR="006D75C9" w:rsidRDefault="000B15B3">
      <w:pPr>
        <w:pStyle w:val="11"/>
      </w:pPr>
      <w:r>
        <w:rPr>
          <w:rFonts w:hint="eastAsia"/>
        </w:rPr>
        <w:t>利用现代通信信息和计算机技术，如电子数据交换</w:t>
      </w:r>
      <w:r>
        <w:rPr>
          <w:rFonts w:hint="eastAsia"/>
          <w:spacing w:val="0"/>
        </w:rPr>
        <w:t>（</w:t>
      </w:r>
      <w:r>
        <w:rPr>
          <w:rFonts w:hint="eastAsia"/>
          <w:spacing w:val="0"/>
        </w:rPr>
        <w:t>EDI</w:t>
      </w:r>
      <w:r>
        <w:rPr>
          <w:rFonts w:hint="eastAsia"/>
          <w:spacing w:val="0"/>
        </w:rPr>
        <w:t>）</w:t>
      </w:r>
      <w:r>
        <w:rPr>
          <w:rFonts w:hint="eastAsia"/>
        </w:rPr>
        <w:t>技术、全球定位系统</w:t>
      </w:r>
      <w:r>
        <w:rPr>
          <w:rFonts w:hint="eastAsia"/>
          <w:spacing w:val="0"/>
        </w:rPr>
        <w:t>（</w:t>
      </w:r>
      <w:r>
        <w:rPr>
          <w:rFonts w:hint="eastAsia"/>
          <w:spacing w:val="0"/>
        </w:rPr>
        <w:t>GPS</w:t>
      </w:r>
      <w:r>
        <w:rPr>
          <w:rFonts w:hint="eastAsia"/>
          <w:spacing w:val="0"/>
        </w:rPr>
        <w:t>）</w:t>
      </w:r>
      <w:r>
        <w:rPr>
          <w:rFonts w:hint="eastAsia"/>
        </w:rPr>
        <w:t>、地理信息系统</w:t>
      </w:r>
      <w:r>
        <w:rPr>
          <w:rFonts w:hint="eastAsia"/>
          <w:spacing w:val="0"/>
        </w:rPr>
        <w:t>（</w:t>
      </w:r>
      <w:r>
        <w:rPr>
          <w:rFonts w:hint="eastAsia"/>
          <w:spacing w:val="0"/>
        </w:rPr>
        <w:t>GIS</w:t>
      </w:r>
      <w:r>
        <w:rPr>
          <w:rFonts w:hint="eastAsia"/>
          <w:spacing w:val="0"/>
        </w:rPr>
        <w:t>）</w:t>
      </w:r>
      <w:r>
        <w:rPr>
          <w:rFonts w:hint="eastAsia"/>
        </w:rPr>
        <w:t>、条码技术（</w:t>
      </w:r>
      <w:r>
        <w:rPr>
          <w:rFonts w:hint="eastAsia"/>
        </w:rPr>
        <w:t>B</w:t>
      </w:r>
      <w:r>
        <w:t>ar Code</w:t>
      </w:r>
      <w:r>
        <w:rPr>
          <w:rFonts w:hint="eastAsia"/>
        </w:rPr>
        <w:t>）等，依托互联网，实现信息查询、票据处理、货物追踪、信息配载与信息分析处理等。</w:t>
      </w:r>
    </w:p>
    <w:p w:rsidR="006D75C9" w:rsidRDefault="000B15B3">
      <w:pPr>
        <w:pStyle w:val="11"/>
        <w:ind w:firstLine="602"/>
        <w:rPr>
          <w:b/>
        </w:rPr>
      </w:pPr>
      <w:r>
        <w:rPr>
          <w:rFonts w:hint="eastAsia"/>
          <w:b/>
        </w:rPr>
        <w:t>——其他辅助服务功能</w:t>
      </w:r>
    </w:p>
    <w:p w:rsidR="006D75C9" w:rsidRDefault="000B15B3">
      <w:pPr>
        <w:pStyle w:val="11"/>
      </w:pPr>
      <w:r>
        <w:rPr>
          <w:rFonts w:hint="eastAsia"/>
        </w:rPr>
        <w:t>为司乘人员提供方便的食宿、休息等辅助服务；为运输车辆提供检测、维修、保养、加油、清洗等辅助服务。</w:t>
      </w:r>
    </w:p>
    <w:p w:rsidR="006D75C9" w:rsidRDefault="000B15B3">
      <w:pPr>
        <w:pStyle w:val="1"/>
      </w:pPr>
      <w:r>
        <w:br w:type="page"/>
      </w:r>
    </w:p>
    <w:p w:rsidR="006D75C9" w:rsidRDefault="006D75C9">
      <w:pPr>
        <w:pStyle w:val="11"/>
      </w:pPr>
    </w:p>
    <w:p w:rsidR="006D75C9" w:rsidRDefault="000B15B3">
      <w:pPr>
        <w:pStyle w:val="1"/>
      </w:pPr>
      <w:bookmarkStart w:id="15" w:name="_Toc430166398"/>
      <w:r>
        <w:rPr>
          <w:rFonts w:hint="eastAsia"/>
        </w:rPr>
        <w:t>第五章</w:t>
      </w:r>
      <w:r>
        <w:rPr>
          <w:rFonts w:hint="eastAsia"/>
        </w:rPr>
        <w:t xml:space="preserve">  </w:t>
      </w:r>
      <w:r>
        <w:rPr>
          <w:rFonts w:hint="eastAsia"/>
        </w:rPr>
        <w:t>布局规划</w:t>
      </w:r>
      <w:bookmarkStart w:id="16" w:name="_Toc147210870"/>
      <w:bookmarkEnd w:id="15"/>
    </w:p>
    <w:p w:rsidR="006D75C9" w:rsidRDefault="000B15B3">
      <w:pPr>
        <w:pStyle w:val="2"/>
        <w:numPr>
          <w:ilvl w:val="1"/>
          <w:numId w:val="0"/>
        </w:numPr>
        <w:spacing w:beforeLines="200" w:before="480" w:afterLines="150" w:after="360"/>
        <w:jc w:val="center"/>
      </w:pPr>
      <w:bookmarkStart w:id="17" w:name="_Toc430166399"/>
      <w:bookmarkEnd w:id="16"/>
      <w:r>
        <w:rPr>
          <w:rFonts w:hint="eastAsia"/>
        </w:rPr>
        <w:t>第一节</w:t>
      </w:r>
      <w:r>
        <w:rPr>
          <w:rFonts w:hint="eastAsia"/>
        </w:rPr>
        <w:t xml:space="preserve"> </w:t>
      </w:r>
      <w:r>
        <w:rPr>
          <w:rFonts w:hint="eastAsia"/>
        </w:rPr>
        <w:t>需求预测</w:t>
      </w:r>
      <w:bookmarkEnd w:id="17"/>
    </w:p>
    <w:p w:rsidR="006D75C9" w:rsidRDefault="000B15B3">
      <w:pPr>
        <w:pStyle w:val="3"/>
        <w:numPr>
          <w:ilvl w:val="0"/>
          <w:numId w:val="9"/>
        </w:numPr>
        <w:ind w:left="0" w:firstLineChars="200" w:firstLine="562"/>
      </w:pPr>
      <w:bookmarkStart w:id="18" w:name="_Toc169428257"/>
      <w:r>
        <w:rPr>
          <w:rFonts w:hint="eastAsia"/>
        </w:rPr>
        <w:t>枢纽旅客发送量</w:t>
      </w:r>
      <w:bookmarkEnd w:id="18"/>
    </w:p>
    <w:p w:rsidR="006D75C9" w:rsidRDefault="000B15B3">
      <w:pPr>
        <w:pStyle w:val="11"/>
      </w:pPr>
      <w:r>
        <w:rPr>
          <w:rFonts w:hint="eastAsia"/>
        </w:rPr>
        <w:t>预测至</w:t>
      </w:r>
      <w:r>
        <w:rPr>
          <w:rFonts w:hint="eastAsia"/>
        </w:rPr>
        <w:t>2030</w:t>
      </w:r>
      <w:r>
        <w:rPr>
          <w:rFonts w:hint="eastAsia"/>
        </w:rPr>
        <w:t>年，梅州市公路客运量约</w:t>
      </w:r>
      <w:r>
        <w:rPr>
          <w:rFonts w:hint="eastAsia"/>
        </w:rPr>
        <w:t>11200</w:t>
      </w:r>
      <w:r>
        <w:rPr>
          <w:rFonts w:hint="eastAsia"/>
        </w:rPr>
        <w:t>万人次，市区客运站发送量为</w:t>
      </w:r>
      <w:r>
        <w:rPr>
          <w:rFonts w:hint="eastAsia"/>
        </w:rPr>
        <w:t>1800</w:t>
      </w:r>
      <w:r>
        <w:rPr>
          <w:rFonts w:hint="eastAsia"/>
        </w:rPr>
        <w:t>万人次，日均旅客发送量约</w:t>
      </w:r>
      <w:r>
        <w:rPr>
          <w:rFonts w:hint="eastAsia"/>
        </w:rPr>
        <w:t>50000</w:t>
      </w:r>
      <w:r>
        <w:rPr>
          <w:rFonts w:hint="eastAsia"/>
        </w:rPr>
        <w:t>人次，省际、市际、市域内的旅客发送比例为</w:t>
      </w:r>
      <w:r>
        <w:rPr>
          <w:rFonts w:hint="eastAsia"/>
        </w:rPr>
        <w:t>9.5:37.5:53.0</w:t>
      </w:r>
      <w:r>
        <w:rPr>
          <w:rFonts w:hint="eastAsia"/>
        </w:rPr>
        <w:t>。</w:t>
      </w:r>
    </w:p>
    <w:p w:rsidR="006D75C9" w:rsidRDefault="000B15B3">
      <w:pPr>
        <w:pStyle w:val="11"/>
      </w:pPr>
      <w:r>
        <w:rPr>
          <w:rFonts w:hint="eastAsia"/>
        </w:rPr>
        <w:t>梅州国家公路运输枢纽旅客发送量的预测结果见表</w:t>
      </w:r>
      <w:r>
        <w:rPr>
          <w:rFonts w:hint="eastAsia"/>
        </w:rPr>
        <w:t>1</w:t>
      </w:r>
      <w:r>
        <w:rPr>
          <w:rFonts w:hint="eastAsia"/>
        </w:rPr>
        <w:t>。</w:t>
      </w:r>
    </w:p>
    <w:p w:rsidR="006D75C9" w:rsidRDefault="000B15B3">
      <w:pPr>
        <w:pStyle w:val="a0"/>
      </w:pPr>
      <w:r>
        <w:rPr>
          <w:rFonts w:hint="eastAsia"/>
        </w:rPr>
        <w:t>梅州国家公路运输枢纽旅客发送量表</w:t>
      </w:r>
    </w:p>
    <w:tbl>
      <w:tblPr>
        <w:tblW w:w="831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354"/>
        <w:gridCol w:w="1490"/>
        <w:gridCol w:w="1490"/>
        <w:gridCol w:w="1490"/>
        <w:gridCol w:w="1490"/>
      </w:tblGrid>
      <w:tr w:rsidR="006D75C9">
        <w:trPr>
          <w:trHeight w:val="567"/>
          <w:jc w:val="center"/>
        </w:trPr>
        <w:tc>
          <w:tcPr>
            <w:tcW w:w="2354" w:type="dxa"/>
            <w:tcMar>
              <w:left w:w="57" w:type="dxa"/>
              <w:right w:w="57" w:type="dxa"/>
            </w:tcMar>
            <w:vAlign w:val="center"/>
          </w:tcPr>
          <w:p w:rsidR="006D75C9" w:rsidRDefault="000B15B3">
            <w:pPr>
              <w:pStyle w:val="af3"/>
              <w:rPr>
                <w:sz w:val="24"/>
                <w:szCs w:val="24"/>
              </w:rPr>
            </w:pPr>
            <w:r>
              <w:rPr>
                <w:rFonts w:hint="eastAsia"/>
                <w:sz w:val="24"/>
                <w:szCs w:val="24"/>
              </w:rPr>
              <w:t>项目</w:t>
            </w:r>
          </w:p>
        </w:tc>
        <w:tc>
          <w:tcPr>
            <w:tcW w:w="1490" w:type="dxa"/>
            <w:vAlign w:val="center"/>
          </w:tcPr>
          <w:p w:rsidR="006D75C9" w:rsidRDefault="000B15B3">
            <w:pPr>
              <w:pStyle w:val="af3"/>
              <w:rPr>
                <w:sz w:val="24"/>
                <w:szCs w:val="24"/>
              </w:rPr>
            </w:pPr>
            <w:r>
              <w:rPr>
                <w:rFonts w:hint="eastAsia"/>
                <w:sz w:val="24"/>
                <w:szCs w:val="24"/>
              </w:rPr>
              <w:t>2013</w:t>
            </w:r>
            <w:r>
              <w:rPr>
                <w:rFonts w:hint="eastAsia"/>
                <w:sz w:val="24"/>
                <w:szCs w:val="24"/>
              </w:rPr>
              <w:t>年</w:t>
            </w:r>
          </w:p>
        </w:tc>
        <w:tc>
          <w:tcPr>
            <w:tcW w:w="1490" w:type="dxa"/>
            <w:vAlign w:val="center"/>
          </w:tcPr>
          <w:p w:rsidR="006D75C9" w:rsidRDefault="000B15B3">
            <w:pPr>
              <w:pStyle w:val="af3"/>
              <w:rPr>
                <w:sz w:val="24"/>
                <w:szCs w:val="24"/>
              </w:rPr>
            </w:pPr>
            <w:r>
              <w:rPr>
                <w:rFonts w:hint="eastAsia"/>
                <w:sz w:val="24"/>
                <w:szCs w:val="24"/>
              </w:rPr>
              <w:t>2015</w:t>
            </w:r>
            <w:r>
              <w:rPr>
                <w:rFonts w:hint="eastAsia"/>
                <w:sz w:val="24"/>
                <w:szCs w:val="24"/>
              </w:rPr>
              <w:t>年</w:t>
            </w:r>
          </w:p>
        </w:tc>
        <w:tc>
          <w:tcPr>
            <w:tcW w:w="1490" w:type="dxa"/>
            <w:vAlign w:val="center"/>
          </w:tcPr>
          <w:p w:rsidR="006D75C9" w:rsidRDefault="000B15B3">
            <w:pPr>
              <w:pStyle w:val="af3"/>
              <w:rPr>
                <w:sz w:val="24"/>
                <w:szCs w:val="24"/>
              </w:rPr>
            </w:pPr>
            <w:r>
              <w:rPr>
                <w:rFonts w:hint="eastAsia"/>
                <w:sz w:val="24"/>
                <w:szCs w:val="24"/>
              </w:rPr>
              <w:t>2020</w:t>
            </w:r>
            <w:r>
              <w:rPr>
                <w:rFonts w:hint="eastAsia"/>
                <w:sz w:val="24"/>
                <w:szCs w:val="24"/>
              </w:rPr>
              <w:t>年</w:t>
            </w:r>
          </w:p>
        </w:tc>
        <w:tc>
          <w:tcPr>
            <w:tcW w:w="1490" w:type="dxa"/>
            <w:vAlign w:val="center"/>
          </w:tcPr>
          <w:p w:rsidR="006D75C9" w:rsidRDefault="000B15B3">
            <w:pPr>
              <w:pStyle w:val="af3"/>
              <w:rPr>
                <w:sz w:val="24"/>
                <w:szCs w:val="24"/>
              </w:rPr>
            </w:pPr>
            <w:r>
              <w:rPr>
                <w:rFonts w:hint="eastAsia"/>
                <w:sz w:val="24"/>
                <w:szCs w:val="24"/>
              </w:rPr>
              <w:t>2030</w:t>
            </w:r>
            <w:r>
              <w:rPr>
                <w:rFonts w:hint="eastAsia"/>
                <w:sz w:val="24"/>
                <w:szCs w:val="24"/>
              </w:rPr>
              <w:t>年</w:t>
            </w:r>
          </w:p>
        </w:tc>
      </w:tr>
      <w:tr w:rsidR="006D75C9">
        <w:trPr>
          <w:trHeight w:val="851"/>
          <w:jc w:val="center"/>
        </w:trPr>
        <w:tc>
          <w:tcPr>
            <w:tcW w:w="2354" w:type="dxa"/>
            <w:tcMar>
              <w:left w:w="57" w:type="dxa"/>
              <w:right w:w="57" w:type="dxa"/>
            </w:tcMar>
            <w:vAlign w:val="center"/>
          </w:tcPr>
          <w:p w:rsidR="006D75C9" w:rsidRDefault="000B15B3">
            <w:pPr>
              <w:pStyle w:val="af3"/>
              <w:rPr>
                <w:color w:val="000000"/>
                <w:sz w:val="24"/>
                <w:szCs w:val="24"/>
              </w:rPr>
            </w:pPr>
            <w:r>
              <w:rPr>
                <w:rFonts w:hint="eastAsia"/>
                <w:color w:val="000000"/>
                <w:sz w:val="24"/>
                <w:szCs w:val="24"/>
              </w:rPr>
              <w:t>全市公路客运量</w:t>
            </w:r>
          </w:p>
          <w:p w:rsidR="006D75C9" w:rsidRDefault="000B15B3">
            <w:pPr>
              <w:pStyle w:val="af3"/>
              <w:rPr>
                <w:color w:val="000000"/>
                <w:sz w:val="24"/>
                <w:szCs w:val="24"/>
              </w:rPr>
            </w:pPr>
            <w:r>
              <w:rPr>
                <w:rFonts w:hint="eastAsia"/>
                <w:color w:val="000000"/>
                <w:sz w:val="24"/>
                <w:szCs w:val="24"/>
              </w:rPr>
              <w:t>（万人次）</w:t>
            </w:r>
          </w:p>
        </w:tc>
        <w:tc>
          <w:tcPr>
            <w:tcW w:w="1490" w:type="dxa"/>
            <w:vAlign w:val="center"/>
          </w:tcPr>
          <w:p w:rsidR="006D75C9" w:rsidRDefault="000B15B3">
            <w:pPr>
              <w:pStyle w:val="af3"/>
              <w:rPr>
                <w:sz w:val="24"/>
                <w:szCs w:val="24"/>
              </w:rPr>
            </w:pPr>
            <w:r>
              <w:rPr>
                <w:rFonts w:hint="eastAsia"/>
                <w:sz w:val="24"/>
                <w:szCs w:val="24"/>
              </w:rPr>
              <w:t>6402</w:t>
            </w:r>
          </w:p>
        </w:tc>
        <w:tc>
          <w:tcPr>
            <w:tcW w:w="1490" w:type="dxa"/>
            <w:vAlign w:val="center"/>
          </w:tcPr>
          <w:p w:rsidR="006D75C9" w:rsidRDefault="000B15B3">
            <w:pPr>
              <w:pStyle w:val="af3"/>
              <w:rPr>
                <w:sz w:val="24"/>
                <w:szCs w:val="24"/>
              </w:rPr>
            </w:pPr>
            <w:r>
              <w:rPr>
                <w:rFonts w:hint="eastAsia"/>
                <w:sz w:val="24"/>
                <w:szCs w:val="24"/>
              </w:rPr>
              <w:t>7500</w:t>
            </w:r>
          </w:p>
        </w:tc>
        <w:tc>
          <w:tcPr>
            <w:tcW w:w="1490" w:type="dxa"/>
            <w:vAlign w:val="center"/>
          </w:tcPr>
          <w:p w:rsidR="006D75C9" w:rsidRDefault="000B15B3">
            <w:pPr>
              <w:pStyle w:val="af3"/>
              <w:rPr>
                <w:sz w:val="24"/>
                <w:szCs w:val="24"/>
              </w:rPr>
            </w:pPr>
            <w:r>
              <w:rPr>
                <w:rFonts w:hint="eastAsia"/>
                <w:sz w:val="24"/>
                <w:szCs w:val="24"/>
              </w:rPr>
              <w:t>8700</w:t>
            </w:r>
          </w:p>
        </w:tc>
        <w:tc>
          <w:tcPr>
            <w:tcW w:w="1490" w:type="dxa"/>
            <w:vAlign w:val="center"/>
          </w:tcPr>
          <w:p w:rsidR="006D75C9" w:rsidRDefault="000B15B3">
            <w:pPr>
              <w:pStyle w:val="af3"/>
              <w:rPr>
                <w:sz w:val="24"/>
                <w:szCs w:val="24"/>
              </w:rPr>
            </w:pPr>
            <w:r>
              <w:rPr>
                <w:rFonts w:hint="eastAsia"/>
                <w:sz w:val="24"/>
                <w:szCs w:val="24"/>
              </w:rPr>
              <w:t>11200</w:t>
            </w:r>
          </w:p>
        </w:tc>
      </w:tr>
      <w:tr w:rsidR="006D75C9">
        <w:trPr>
          <w:trHeight w:val="851"/>
          <w:jc w:val="center"/>
        </w:trPr>
        <w:tc>
          <w:tcPr>
            <w:tcW w:w="2354" w:type="dxa"/>
            <w:tcMar>
              <w:left w:w="57" w:type="dxa"/>
              <w:right w:w="57" w:type="dxa"/>
            </w:tcMar>
            <w:vAlign w:val="center"/>
          </w:tcPr>
          <w:p w:rsidR="006D75C9" w:rsidRDefault="000B15B3">
            <w:pPr>
              <w:pStyle w:val="af3"/>
              <w:rPr>
                <w:color w:val="000000"/>
                <w:sz w:val="24"/>
                <w:szCs w:val="24"/>
              </w:rPr>
            </w:pPr>
            <w:r>
              <w:rPr>
                <w:rFonts w:hint="eastAsia"/>
                <w:color w:val="000000"/>
                <w:sz w:val="24"/>
                <w:szCs w:val="24"/>
              </w:rPr>
              <w:t>国家公路运输枢纽</w:t>
            </w:r>
          </w:p>
          <w:p w:rsidR="006D75C9" w:rsidRDefault="000B15B3">
            <w:pPr>
              <w:pStyle w:val="af3"/>
              <w:rPr>
                <w:color w:val="000000"/>
                <w:sz w:val="24"/>
                <w:szCs w:val="24"/>
              </w:rPr>
            </w:pPr>
            <w:r>
              <w:rPr>
                <w:rFonts w:hint="eastAsia"/>
                <w:color w:val="000000"/>
                <w:sz w:val="24"/>
                <w:szCs w:val="24"/>
              </w:rPr>
              <w:t>旅客发送量</w:t>
            </w:r>
          </w:p>
          <w:p w:rsidR="006D75C9" w:rsidRDefault="000B15B3">
            <w:pPr>
              <w:pStyle w:val="af3"/>
              <w:rPr>
                <w:color w:val="000000"/>
                <w:sz w:val="24"/>
                <w:szCs w:val="24"/>
              </w:rPr>
            </w:pPr>
            <w:r>
              <w:rPr>
                <w:rFonts w:hint="eastAsia"/>
                <w:color w:val="000000"/>
                <w:sz w:val="24"/>
                <w:szCs w:val="24"/>
              </w:rPr>
              <w:t>（万人次）</w:t>
            </w:r>
          </w:p>
        </w:tc>
        <w:tc>
          <w:tcPr>
            <w:tcW w:w="1490" w:type="dxa"/>
            <w:vAlign w:val="center"/>
          </w:tcPr>
          <w:p w:rsidR="006D75C9" w:rsidRDefault="000B15B3">
            <w:pPr>
              <w:pStyle w:val="af3"/>
              <w:rPr>
                <w:sz w:val="24"/>
                <w:szCs w:val="24"/>
              </w:rPr>
            </w:pPr>
            <w:r>
              <w:rPr>
                <w:rFonts w:hint="eastAsia"/>
                <w:sz w:val="24"/>
                <w:szCs w:val="24"/>
              </w:rPr>
              <w:t>318.8</w:t>
            </w:r>
          </w:p>
        </w:tc>
        <w:tc>
          <w:tcPr>
            <w:tcW w:w="1490" w:type="dxa"/>
            <w:vAlign w:val="center"/>
          </w:tcPr>
          <w:p w:rsidR="006D75C9" w:rsidRDefault="000B15B3">
            <w:pPr>
              <w:jc w:val="center"/>
              <w:rPr>
                <w:sz w:val="24"/>
              </w:rPr>
            </w:pPr>
            <w:r>
              <w:rPr>
                <w:sz w:val="24"/>
              </w:rPr>
              <w:t>450</w:t>
            </w:r>
          </w:p>
        </w:tc>
        <w:tc>
          <w:tcPr>
            <w:tcW w:w="1490" w:type="dxa"/>
            <w:vAlign w:val="center"/>
          </w:tcPr>
          <w:p w:rsidR="006D75C9" w:rsidRDefault="000B15B3">
            <w:pPr>
              <w:jc w:val="center"/>
              <w:rPr>
                <w:sz w:val="24"/>
              </w:rPr>
            </w:pPr>
            <w:r>
              <w:rPr>
                <w:sz w:val="24"/>
              </w:rPr>
              <w:t>870</w:t>
            </w:r>
          </w:p>
        </w:tc>
        <w:tc>
          <w:tcPr>
            <w:tcW w:w="1490" w:type="dxa"/>
            <w:vAlign w:val="center"/>
          </w:tcPr>
          <w:p w:rsidR="006D75C9" w:rsidRDefault="000B15B3">
            <w:pPr>
              <w:jc w:val="center"/>
              <w:rPr>
                <w:sz w:val="24"/>
              </w:rPr>
            </w:pPr>
            <w:r>
              <w:rPr>
                <w:sz w:val="24"/>
              </w:rPr>
              <w:t>1800</w:t>
            </w:r>
          </w:p>
        </w:tc>
      </w:tr>
      <w:tr w:rsidR="006D75C9">
        <w:trPr>
          <w:trHeight w:val="851"/>
          <w:jc w:val="center"/>
        </w:trPr>
        <w:tc>
          <w:tcPr>
            <w:tcW w:w="2354" w:type="dxa"/>
            <w:tcMar>
              <w:left w:w="57" w:type="dxa"/>
              <w:right w:w="57" w:type="dxa"/>
            </w:tcMar>
            <w:vAlign w:val="center"/>
          </w:tcPr>
          <w:p w:rsidR="006D75C9" w:rsidRDefault="000B15B3">
            <w:pPr>
              <w:pStyle w:val="af3"/>
              <w:rPr>
                <w:color w:val="000000"/>
                <w:sz w:val="24"/>
                <w:szCs w:val="24"/>
              </w:rPr>
            </w:pPr>
            <w:r>
              <w:rPr>
                <w:rFonts w:hint="eastAsia"/>
                <w:color w:val="000000"/>
                <w:sz w:val="24"/>
                <w:szCs w:val="24"/>
              </w:rPr>
              <w:t>日均旅客发送量</w:t>
            </w:r>
          </w:p>
          <w:p w:rsidR="006D75C9" w:rsidRDefault="000B15B3">
            <w:pPr>
              <w:pStyle w:val="af3"/>
              <w:rPr>
                <w:color w:val="000000"/>
                <w:sz w:val="24"/>
                <w:szCs w:val="24"/>
              </w:rPr>
            </w:pPr>
            <w:r>
              <w:rPr>
                <w:rFonts w:hint="eastAsia"/>
                <w:color w:val="000000"/>
                <w:sz w:val="24"/>
                <w:szCs w:val="24"/>
              </w:rPr>
              <w:t>（人次</w:t>
            </w:r>
            <w:r>
              <w:rPr>
                <w:rFonts w:hint="eastAsia"/>
                <w:color w:val="000000"/>
                <w:sz w:val="24"/>
                <w:szCs w:val="24"/>
              </w:rPr>
              <w:t>/</w:t>
            </w:r>
            <w:r>
              <w:rPr>
                <w:rFonts w:hint="eastAsia"/>
                <w:color w:val="000000"/>
                <w:sz w:val="24"/>
                <w:szCs w:val="24"/>
              </w:rPr>
              <w:t>天）</w:t>
            </w:r>
          </w:p>
        </w:tc>
        <w:tc>
          <w:tcPr>
            <w:tcW w:w="1490" w:type="dxa"/>
            <w:vAlign w:val="center"/>
          </w:tcPr>
          <w:p w:rsidR="006D75C9" w:rsidRDefault="000B15B3">
            <w:pPr>
              <w:pStyle w:val="af3"/>
              <w:rPr>
                <w:sz w:val="24"/>
                <w:szCs w:val="24"/>
              </w:rPr>
            </w:pPr>
            <w:r>
              <w:rPr>
                <w:rFonts w:hint="eastAsia"/>
                <w:sz w:val="24"/>
                <w:szCs w:val="24"/>
              </w:rPr>
              <w:t>8734</w:t>
            </w:r>
          </w:p>
        </w:tc>
        <w:tc>
          <w:tcPr>
            <w:tcW w:w="1490" w:type="dxa"/>
            <w:vAlign w:val="center"/>
          </w:tcPr>
          <w:p w:rsidR="006D75C9" w:rsidRDefault="000B15B3">
            <w:pPr>
              <w:jc w:val="center"/>
              <w:rPr>
                <w:sz w:val="24"/>
              </w:rPr>
            </w:pPr>
            <w:r>
              <w:rPr>
                <w:sz w:val="24"/>
              </w:rPr>
              <w:t>12300</w:t>
            </w:r>
          </w:p>
        </w:tc>
        <w:tc>
          <w:tcPr>
            <w:tcW w:w="1490" w:type="dxa"/>
            <w:vAlign w:val="center"/>
          </w:tcPr>
          <w:p w:rsidR="006D75C9" w:rsidRDefault="000B15B3">
            <w:pPr>
              <w:jc w:val="center"/>
              <w:rPr>
                <w:sz w:val="24"/>
              </w:rPr>
            </w:pPr>
            <w:r>
              <w:rPr>
                <w:sz w:val="24"/>
              </w:rPr>
              <w:t>24000</w:t>
            </w:r>
          </w:p>
        </w:tc>
        <w:tc>
          <w:tcPr>
            <w:tcW w:w="1490" w:type="dxa"/>
            <w:vAlign w:val="center"/>
          </w:tcPr>
          <w:p w:rsidR="006D75C9" w:rsidRDefault="000B15B3">
            <w:pPr>
              <w:jc w:val="center"/>
              <w:rPr>
                <w:sz w:val="24"/>
              </w:rPr>
            </w:pPr>
            <w:r>
              <w:rPr>
                <w:sz w:val="24"/>
              </w:rPr>
              <w:t>50000</w:t>
            </w:r>
          </w:p>
        </w:tc>
      </w:tr>
      <w:tr w:rsidR="006D75C9">
        <w:trPr>
          <w:trHeight w:val="851"/>
          <w:jc w:val="center"/>
        </w:trPr>
        <w:tc>
          <w:tcPr>
            <w:tcW w:w="2354" w:type="dxa"/>
            <w:tcMar>
              <w:left w:w="57" w:type="dxa"/>
              <w:right w:w="57" w:type="dxa"/>
            </w:tcMar>
            <w:vAlign w:val="center"/>
          </w:tcPr>
          <w:p w:rsidR="006D75C9" w:rsidRDefault="000B15B3">
            <w:pPr>
              <w:pStyle w:val="af3"/>
              <w:rPr>
                <w:color w:val="000000"/>
                <w:sz w:val="24"/>
                <w:szCs w:val="24"/>
              </w:rPr>
            </w:pPr>
            <w:r>
              <w:rPr>
                <w:rFonts w:hint="eastAsia"/>
                <w:color w:val="000000"/>
                <w:sz w:val="24"/>
                <w:szCs w:val="24"/>
              </w:rPr>
              <w:t>发送量比例</w:t>
            </w:r>
          </w:p>
          <w:p w:rsidR="006D75C9" w:rsidRDefault="000B15B3">
            <w:pPr>
              <w:pStyle w:val="af3"/>
              <w:rPr>
                <w:color w:val="000000"/>
                <w:sz w:val="24"/>
                <w:szCs w:val="24"/>
              </w:rPr>
            </w:pPr>
            <w:r>
              <w:rPr>
                <w:rFonts w:hint="eastAsia"/>
                <w:color w:val="000000"/>
                <w:sz w:val="24"/>
                <w:szCs w:val="24"/>
              </w:rPr>
              <w:t>（省际</w:t>
            </w:r>
            <w:r>
              <w:rPr>
                <w:rFonts w:hint="eastAsia"/>
                <w:color w:val="000000"/>
                <w:sz w:val="24"/>
                <w:szCs w:val="24"/>
              </w:rPr>
              <w:t>:</w:t>
            </w:r>
            <w:r>
              <w:rPr>
                <w:rFonts w:hint="eastAsia"/>
                <w:color w:val="000000"/>
                <w:sz w:val="24"/>
                <w:szCs w:val="24"/>
              </w:rPr>
              <w:t>市际</w:t>
            </w:r>
            <w:r>
              <w:rPr>
                <w:rFonts w:hint="eastAsia"/>
                <w:color w:val="000000"/>
                <w:sz w:val="24"/>
                <w:szCs w:val="24"/>
              </w:rPr>
              <w:t>:</w:t>
            </w:r>
            <w:r>
              <w:rPr>
                <w:rFonts w:hint="eastAsia"/>
                <w:color w:val="000000"/>
                <w:sz w:val="24"/>
                <w:szCs w:val="24"/>
              </w:rPr>
              <w:t>市域内）</w:t>
            </w:r>
          </w:p>
        </w:tc>
        <w:tc>
          <w:tcPr>
            <w:tcW w:w="1490" w:type="dxa"/>
            <w:vAlign w:val="center"/>
          </w:tcPr>
          <w:p w:rsidR="006D75C9" w:rsidRDefault="000B15B3">
            <w:pPr>
              <w:pStyle w:val="af3"/>
              <w:rPr>
                <w:sz w:val="24"/>
                <w:szCs w:val="24"/>
              </w:rPr>
            </w:pPr>
            <w:r>
              <w:rPr>
                <w:rFonts w:hint="eastAsia"/>
                <w:sz w:val="24"/>
                <w:szCs w:val="24"/>
              </w:rPr>
              <w:t>8.3:33.6:58.1</w:t>
            </w:r>
          </w:p>
        </w:tc>
        <w:tc>
          <w:tcPr>
            <w:tcW w:w="1490" w:type="dxa"/>
            <w:vAlign w:val="center"/>
          </w:tcPr>
          <w:p w:rsidR="006D75C9" w:rsidRDefault="000B15B3">
            <w:pPr>
              <w:pStyle w:val="af3"/>
              <w:rPr>
                <w:sz w:val="24"/>
                <w:szCs w:val="24"/>
              </w:rPr>
            </w:pPr>
            <w:r>
              <w:rPr>
                <w:rFonts w:hint="eastAsia"/>
                <w:sz w:val="24"/>
                <w:szCs w:val="24"/>
              </w:rPr>
              <w:t>8.5:34.6:57.0</w:t>
            </w:r>
          </w:p>
        </w:tc>
        <w:tc>
          <w:tcPr>
            <w:tcW w:w="1490" w:type="dxa"/>
            <w:vAlign w:val="center"/>
          </w:tcPr>
          <w:p w:rsidR="006D75C9" w:rsidRDefault="000B15B3">
            <w:pPr>
              <w:pStyle w:val="af3"/>
              <w:rPr>
                <w:sz w:val="24"/>
                <w:szCs w:val="24"/>
              </w:rPr>
            </w:pPr>
            <w:r>
              <w:rPr>
                <w:rFonts w:hint="eastAsia"/>
                <w:sz w:val="24"/>
                <w:szCs w:val="24"/>
              </w:rPr>
              <w:t>9.0:36.0:55.0</w:t>
            </w:r>
          </w:p>
        </w:tc>
        <w:tc>
          <w:tcPr>
            <w:tcW w:w="1490" w:type="dxa"/>
            <w:vAlign w:val="center"/>
          </w:tcPr>
          <w:p w:rsidR="006D75C9" w:rsidRDefault="000B15B3">
            <w:pPr>
              <w:pStyle w:val="af3"/>
              <w:rPr>
                <w:sz w:val="24"/>
                <w:szCs w:val="24"/>
              </w:rPr>
            </w:pPr>
            <w:r>
              <w:rPr>
                <w:rFonts w:hint="eastAsia"/>
                <w:sz w:val="24"/>
                <w:szCs w:val="24"/>
              </w:rPr>
              <w:t>9.5:37.5:53.0</w:t>
            </w:r>
          </w:p>
        </w:tc>
      </w:tr>
    </w:tbl>
    <w:p w:rsidR="006D75C9" w:rsidRDefault="006D75C9">
      <w:pPr>
        <w:pStyle w:val="11"/>
        <w:ind w:firstLine="520"/>
        <w:rPr>
          <w:sz w:val="24"/>
          <w:szCs w:val="24"/>
        </w:rPr>
      </w:pPr>
      <w:bookmarkStart w:id="19" w:name="_Toc169428258"/>
    </w:p>
    <w:p w:rsidR="006D75C9" w:rsidRDefault="000B15B3">
      <w:pPr>
        <w:pStyle w:val="3"/>
        <w:numPr>
          <w:ilvl w:val="0"/>
          <w:numId w:val="9"/>
        </w:numPr>
        <w:ind w:left="0" w:firstLineChars="200" w:firstLine="562"/>
      </w:pPr>
      <w:r>
        <w:rPr>
          <w:rFonts w:hint="eastAsia"/>
        </w:rPr>
        <w:t>货运枢纽作业量</w:t>
      </w:r>
      <w:bookmarkEnd w:id="19"/>
    </w:p>
    <w:p w:rsidR="006D75C9" w:rsidRDefault="000B15B3">
      <w:pPr>
        <w:pStyle w:val="11"/>
      </w:pPr>
      <w:r>
        <w:rPr>
          <w:rFonts w:hint="eastAsia"/>
        </w:rPr>
        <w:t>梅州公路货运枢纽作业量是指进入货运枢纽站场进行作业的货物运输作业</w:t>
      </w:r>
      <w:r>
        <w:rPr>
          <w:rFonts w:hint="eastAsia"/>
        </w:rPr>
        <w:t>(</w:t>
      </w:r>
      <w:r>
        <w:rPr>
          <w:rFonts w:hint="eastAsia"/>
        </w:rPr>
        <w:t>吞吐</w:t>
      </w:r>
      <w:r>
        <w:rPr>
          <w:rFonts w:hint="eastAsia"/>
        </w:rPr>
        <w:t>)</w:t>
      </w:r>
      <w:r>
        <w:rPr>
          <w:rFonts w:hint="eastAsia"/>
        </w:rPr>
        <w:t>量，包括零担运输量、工业储运量、物流配送量、公铁联运量等等。预测至</w:t>
      </w:r>
      <w:r>
        <w:rPr>
          <w:rFonts w:hint="eastAsia"/>
        </w:rPr>
        <w:t>2030</w:t>
      </w:r>
      <w:r>
        <w:rPr>
          <w:rFonts w:hint="eastAsia"/>
        </w:rPr>
        <w:t>年，梅州国家公路运输枢纽完成的货运作业量为</w:t>
      </w:r>
      <w:r>
        <w:rPr>
          <w:rFonts w:hint="eastAsia"/>
        </w:rPr>
        <w:t>570</w:t>
      </w:r>
      <w:r>
        <w:rPr>
          <w:rFonts w:hint="eastAsia"/>
        </w:rPr>
        <w:t>万吨。</w:t>
      </w:r>
    </w:p>
    <w:p w:rsidR="006D75C9" w:rsidRDefault="000B15B3">
      <w:pPr>
        <w:pStyle w:val="a0"/>
      </w:pPr>
      <w:r>
        <w:rPr>
          <w:rFonts w:hint="eastAsia"/>
        </w:rPr>
        <w:lastRenderedPageBreak/>
        <w:t>货运枢纽作业量结果</w:t>
      </w:r>
    </w:p>
    <w:tbl>
      <w:tblPr>
        <w:tblW w:w="850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758"/>
        <w:gridCol w:w="1915"/>
        <w:gridCol w:w="1915"/>
        <w:gridCol w:w="1915"/>
      </w:tblGrid>
      <w:tr w:rsidR="006D75C9">
        <w:trPr>
          <w:trHeight w:val="510"/>
          <w:jc w:val="center"/>
        </w:trPr>
        <w:tc>
          <w:tcPr>
            <w:tcW w:w="2758" w:type="dxa"/>
            <w:vAlign w:val="center"/>
          </w:tcPr>
          <w:p w:rsidR="006D75C9" w:rsidRDefault="000B15B3">
            <w:pPr>
              <w:pStyle w:val="af3"/>
              <w:rPr>
                <w:sz w:val="24"/>
                <w:szCs w:val="24"/>
              </w:rPr>
            </w:pPr>
            <w:r>
              <w:rPr>
                <w:rFonts w:hint="eastAsia"/>
                <w:sz w:val="24"/>
                <w:szCs w:val="24"/>
              </w:rPr>
              <w:t>作业量（单位：万吨）</w:t>
            </w:r>
          </w:p>
        </w:tc>
        <w:tc>
          <w:tcPr>
            <w:tcW w:w="1915" w:type="dxa"/>
            <w:vAlign w:val="center"/>
          </w:tcPr>
          <w:p w:rsidR="006D75C9" w:rsidRDefault="000B15B3">
            <w:pPr>
              <w:pStyle w:val="af3"/>
              <w:rPr>
                <w:sz w:val="24"/>
                <w:szCs w:val="24"/>
              </w:rPr>
            </w:pPr>
            <w:r>
              <w:rPr>
                <w:rFonts w:hint="eastAsia"/>
                <w:sz w:val="24"/>
                <w:szCs w:val="24"/>
              </w:rPr>
              <w:t>2015</w:t>
            </w:r>
            <w:r>
              <w:rPr>
                <w:rFonts w:hint="eastAsia"/>
                <w:sz w:val="24"/>
                <w:szCs w:val="24"/>
              </w:rPr>
              <w:t>年</w:t>
            </w:r>
          </w:p>
        </w:tc>
        <w:tc>
          <w:tcPr>
            <w:tcW w:w="1915" w:type="dxa"/>
            <w:vAlign w:val="center"/>
          </w:tcPr>
          <w:p w:rsidR="006D75C9" w:rsidRDefault="000B15B3">
            <w:pPr>
              <w:pStyle w:val="af3"/>
              <w:rPr>
                <w:sz w:val="24"/>
                <w:szCs w:val="24"/>
              </w:rPr>
            </w:pPr>
            <w:r>
              <w:rPr>
                <w:rFonts w:hint="eastAsia"/>
                <w:sz w:val="24"/>
                <w:szCs w:val="24"/>
              </w:rPr>
              <w:t>2020</w:t>
            </w:r>
            <w:r>
              <w:rPr>
                <w:rFonts w:hint="eastAsia"/>
                <w:sz w:val="24"/>
                <w:szCs w:val="24"/>
              </w:rPr>
              <w:t>年</w:t>
            </w:r>
          </w:p>
        </w:tc>
        <w:tc>
          <w:tcPr>
            <w:tcW w:w="1915" w:type="dxa"/>
            <w:vAlign w:val="center"/>
          </w:tcPr>
          <w:p w:rsidR="006D75C9" w:rsidRDefault="000B15B3">
            <w:pPr>
              <w:pStyle w:val="af3"/>
              <w:rPr>
                <w:sz w:val="24"/>
                <w:szCs w:val="24"/>
              </w:rPr>
            </w:pPr>
            <w:r>
              <w:rPr>
                <w:rFonts w:hint="eastAsia"/>
                <w:sz w:val="24"/>
                <w:szCs w:val="24"/>
              </w:rPr>
              <w:t>2030</w:t>
            </w:r>
            <w:r>
              <w:rPr>
                <w:rFonts w:hint="eastAsia"/>
                <w:sz w:val="24"/>
                <w:szCs w:val="24"/>
              </w:rPr>
              <w:t>年</w:t>
            </w:r>
          </w:p>
        </w:tc>
      </w:tr>
      <w:tr w:rsidR="006D75C9">
        <w:trPr>
          <w:trHeight w:val="510"/>
          <w:jc w:val="center"/>
        </w:trPr>
        <w:tc>
          <w:tcPr>
            <w:tcW w:w="2758" w:type="dxa"/>
            <w:vAlign w:val="center"/>
          </w:tcPr>
          <w:p w:rsidR="006D75C9" w:rsidRDefault="000B15B3">
            <w:pPr>
              <w:pStyle w:val="af3"/>
              <w:rPr>
                <w:sz w:val="24"/>
                <w:szCs w:val="24"/>
              </w:rPr>
            </w:pPr>
            <w:r>
              <w:rPr>
                <w:rFonts w:hint="eastAsia"/>
                <w:sz w:val="24"/>
                <w:szCs w:val="24"/>
              </w:rPr>
              <w:t>零担运输量</w:t>
            </w:r>
          </w:p>
        </w:tc>
        <w:tc>
          <w:tcPr>
            <w:tcW w:w="1915" w:type="dxa"/>
            <w:vAlign w:val="center"/>
          </w:tcPr>
          <w:p w:rsidR="006D75C9" w:rsidRDefault="000B15B3">
            <w:pPr>
              <w:jc w:val="center"/>
              <w:rPr>
                <w:rFonts w:ascii="宋体" w:hAnsi="宋体" w:cs="宋体"/>
                <w:sz w:val="24"/>
              </w:rPr>
            </w:pPr>
            <w:r>
              <w:rPr>
                <w:rFonts w:hint="eastAsia"/>
                <w:sz w:val="24"/>
              </w:rPr>
              <w:t>53</w:t>
            </w:r>
          </w:p>
        </w:tc>
        <w:tc>
          <w:tcPr>
            <w:tcW w:w="1915" w:type="dxa"/>
            <w:vAlign w:val="center"/>
          </w:tcPr>
          <w:p w:rsidR="006D75C9" w:rsidRDefault="000B15B3">
            <w:pPr>
              <w:jc w:val="center"/>
              <w:rPr>
                <w:sz w:val="24"/>
              </w:rPr>
            </w:pPr>
            <w:r>
              <w:rPr>
                <w:rFonts w:hint="eastAsia"/>
                <w:sz w:val="24"/>
              </w:rPr>
              <w:t>145</w:t>
            </w:r>
          </w:p>
        </w:tc>
        <w:tc>
          <w:tcPr>
            <w:tcW w:w="1915" w:type="dxa"/>
            <w:vAlign w:val="center"/>
          </w:tcPr>
          <w:p w:rsidR="006D75C9" w:rsidRDefault="000B15B3">
            <w:pPr>
              <w:jc w:val="center"/>
              <w:rPr>
                <w:rFonts w:ascii="宋体" w:hAnsi="宋体" w:cs="宋体"/>
                <w:sz w:val="24"/>
              </w:rPr>
            </w:pPr>
            <w:r>
              <w:rPr>
                <w:rFonts w:hint="eastAsia"/>
                <w:sz w:val="24"/>
              </w:rPr>
              <w:t>280</w:t>
            </w:r>
          </w:p>
        </w:tc>
      </w:tr>
      <w:tr w:rsidR="006D75C9">
        <w:trPr>
          <w:trHeight w:val="510"/>
          <w:jc w:val="center"/>
        </w:trPr>
        <w:tc>
          <w:tcPr>
            <w:tcW w:w="2758" w:type="dxa"/>
            <w:vAlign w:val="center"/>
          </w:tcPr>
          <w:p w:rsidR="006D75C9" w:rsidRDefault="000B15B3">
            <w:pPr>
              <w:pStyle w:val="af3"/>
              <w:rPr>
                <w:sz w:val="24"/>
                <w:szCs w:val="24"/>
              </w:rPr>
            </w:pPr>
            <w:r>
              <w:rPr>
                <w:rFonts w:hint="eastAsia"/>
                <w:sz w:val="24"/>
                <w:szCs w:val="24"/>
              </w:rPr>
              <w:t>工业储运量</w:t>
            </w:r>
          </w:p>
        </w:tc>
        <w:tc>
          <w:tcPr>
            <w:tcW w:w="1915" w:type="dxa"/>
            <w:vAlign w:val="center"/>
          </w:tcPr>
          <w:p w:rsidR="006D75C9" w:rsidRDefault="000B15B3">
            <w:pPr>
              <w:pStyle w:val="af3"/>
              <w:rPr>
                <w:sz w:val="24"/>
              </w:rPr>
            </w:pPr>
            <w:r>
              <w:rPr>
                <w:rFonts w:hint="eastAsia"/>
                <w:sz w:val="24"/>
              </w:rPr>
              <w:t>5</w:t>
            </w:r>
          </w:p>
        </w:tc>
        <w:tc>
          <w:tcPr>
            <w:tcW w:w="1915" w:type="dxa"/>
            <w:vAlign w:val="center"/>
          </w:tcPr>
          <w:p w:rsidR="006D75C9" w:rsidRDefault="000B15B3">
            <w:pPr>
              <w:pStyle w:val="af3"/>
              <w:rPr>
                <w:sz w:val="24"/>
              </w:rPr>
            </w:pPr>
            <w:r>
              <w:rPr>
                <w:rFonts w:hint="eastAsia"/>
                <w:sz w:val="24"/>
              </w:rPr>
              <w:t>50</w:t>
            </w:r>
          </w:p>
        </w:tc>
        <w:tc>
          <w:tcPr>
            <w:tcW w:w="1915" w:type="dxa"/>
            <w:vAlign w:val="center"/>
          </w:tcPr>
          <w:p w:rsidR="006D75C9" w:rsidRDefault="000B15B3">
            <w:pPr>
              <w:pStyle w:val="af3"/>
              <w:rPr>
                <w:sz w:val="24"/>
              </w:rPr>
            </w:pPr>
            <w:r>
              <w:rPr>
                <w:rFonts w:hint="eastAsia"/>
                <w:sz w:val="24"/>
              </w:rPr>
              <w:t>120</w:t>
            </w:r>
          </w:p>
        </w:tc>
      </w:tr>
      <w:tr w:rsidR="006D75C9">
        <w:trPr>
          <w:trHeight w:val="510"/>
          <w:jc w:val="center"/>
        </w:trPr>
        <w:tc>
          <w:tcPr>
            <w:tcW w:w="2758" w:type="dxa"/>
            <w:vAlign w:val="center"/>
          </w:tcPr>
          <w:p w:rsidR="006D75C9" w:rsidRDefault="000B15B3">
            <w:pPr>
              <w:pStyle w:val="af3"/>
              <w:rPr>
                <w:sz w:val="24"/>
                <w:szCs w:val="24"/>
              </w:rPr>
            </w:pPr>
            <w:r>
              <w:rPr>
                <w:rFonts w:hint="eastAsia"/>
                <w:sz w:val="24"/>
                <w:szCs w:val="24"/>
              </w:rPr>
              <w:t>物流配送量</w:t>
            </w:r>
          </w:p>
        </w:tc>
        <w:tc>
          <w:tcPr>
            <w:tcW w:w="1915" w:type="dxa"/>
            <w:vAlign w:val="center"/>
          </w:tcPr>
          <w:p w:rsidR="006D75C9" w:rsidRDefault="000B15B3">
            <w:pPr>
              <w:pStyle w:val="af3"/>
              <w:rPr>
                <w:sz w:val="24"/>
              </w:rPr>
            </w:pPr>
            <w:r>
              <w:rPr>
                <w:rFonts w:hint="eastAsia"/>
                <w:sz w:val="24"/>
              </w:rPr>
              <w:t>10</w:t>
            </w:r>
          </w:p>
        </w:tc>
        <w:tc>
          <w:tcPr>
            <w:tcW w:w="1915" w:type="dxa"/>
            <w:vAlign w:val="center"/>
          </w:tcPr>
          <w:p w:rsidR="006D75C9" w:rsidRDefault="000B15B3">
            <w:pPr>
              <w:pStyle w:val="af3"/>
              <w:rPr>
                <w:sz w:val="24"/>
              </w:rPr>
            </w:pPr>
            <w:r>
              <w:rPr>
                <w:rFonts w:hint="eastAsia"/>
                <w:sz w:val="24"/>
              </w:rPr>
              <w:t>40</w:t>
            </w:r>
          </w:p>
        </w:tc>
        <w:tc>
          <w:tcPr>
            <w:tcW w:w="1915" w:type="dxa"/>
            <w:vAlign w:val="center"/>
          </w:tcPr>
          <w:p w:rsidR="006D75C9" w:rsidRDefault="000B15B3">
            <w:pPr>
              <w:pStyle w:val="af3"/>
              <w:rPr>
                <w:sz w:val="24"/>
              </w:rPr>
            </w:pPr>
            <w:r>
              <w:rPr>
                <w:rFonts w:hint="eastAsia"/>
                <w:sz w:val="24"/>
              </w:rPr>
              <w:t>100</w:t>
            </w:r>
          </w:p>
        </w:tc>
      </w:tr>
      <w:tr w:rsidR="006D75C9">
        <w:trPr>
          <w:trHeight w:val="510"/>
          <w:jc w:val="center"/>
        </w:trPr>
        <w:tc>
          <w:tcPr>
            <w:tcW w:w="2758" w:type="dxa"/>
            <w:vAlign w:val="center"/>
          </w:tcPr>
          <w:p w:rsidR="006D75C9" w:rsidRDefault="000B15B3">
            <w:pPr>
              <w:pStyle w:val="af3"/>
              <w:rPr>
                <w:sz w:val="24"/>
                <w:szCs w:val="24"/>
              </w:rPr>
            </w:pPr>
            <w:r>
              <w:rPr>
                <w:rFonts w:hint="eastAsia"/>
                <w:sz w:val="24"/>
                <w:szCs w:val="24"/>
              </w:rPr>
              <w:t>公铁联运量</w:t>
            </w:r>
          </w:p>
        </w:tc>
        <w:tc>
          <w:tcPr>
            <w:tcW w:w="1915" w:type="dxa"/>
            <w:vAlign w:val="center"/>
          </w:tcPr>
          <w:p w:rsidR="006D75C9" w:rsidRDefault="000B15B3">
            <w:pPr>
              <w:pStyle w:val="af3"/>
              <w:rPr>
                <w:sz w:val="24"/>
              </w:rPr>
            </w:pPr>
            <w:r>
              <w:rPr>
                <w:rFonts w:hint="eastAsia"/>
                <w:sz w:val="24"/>
              </w:rPr>
              <w:t>2</w:t>
            </w:r>
          </w:p>
        </w:tc>
        <w:tc>
          <w:tcPr>
            <w:tcW w:w="1915" w:type="dxa"/>
            <w:vAlign w:val="center"/>
          </w:tcPr>
          <w:p w:rsidR="006D75C9" w:rsidRDefault="000B15B3">
            <w:pPr>
              <w:pStyle w:val="af3"/>
              <w:rPr>
                <w:sz w:val="24"/>
              </w:rPr>
            </w:pPr>
            <w:r>
              <w:rPr>
                <w:rFonts w:hint="eastAsia"/>
                <w:sz w:val="24"/>
              </w:rPr>
              <w:t>20</w:t>
            </w:r>
          </w:p>
        </w:tc>
        <w:tc>
          <w:tcPr>
            <w:tcW w:w="1915" w:type="dxa"/>
            <w:vAlign w:val="center"/>
          </w:tcPr>
          <w:p w:rsidR="006D75C9" w:rsidRDefault="000B15B3">
            <w:pPr>
              <w:pStyle w:val="af3"/>
              <w:rPr>
                <w:sz w:val="24"/>
              </w:rPr>
            </w:pPr>
            <w:r>
              <w:rPr>
                <w:rFonts w:hint="eastAsia"/>
                <w:sz w:val="24"/>
              </w:rPr>
              <w:t>70</w:t>
            </w:r>
          </w:p>
        </w:tc>
      </w:tr>
      <w:tr w:rsidR="006D75C9">
        <w:trPr>
          <w:trHeight w:val="510"/>
          <w:jc w:val="center"/>
        </w:trPr>
        <w:tc>
          <w:tcPr>
            <w:tcW w:w="2758" w:type="dxa"/>
            <w:vAlign w:val="center"/>
          </w:tcPr>
          <w:p w:rsidR="006D75C9" w:rsidRDefault="000B15B3">
            <w:pPr>
              <w:pStyle w:val="af3"/>
              <w:rPr>
                <w:sz w:val="24"/>
                <w:szCs w:val="24"/>
              </w:rPr>
            </w:pPr>
            <w:r>
              <w:rPr>
                <w:rFonts w:hint="eastAsia"/>
                <w:sz w:val="24"/>
                <w:szCs w:val="24"/>
              </w:rPr>
              <w:t>合计</w:t>
            </w:r>
          </w:p>
        </w:tc>
        <w:tc>
          <w:tcPr>
            <w:tcW w:w="1915" w:type="dxa"/>
            <w:vAlign w:val="center"/>
          </w:tcPr>
          <w:p w:rsidR="006D75C9" w:rsidRDefault="000B15B3">
            <w:pPr>
              <w:pStyle w:val="af3"/>
              <w:rPr>
                <w:b/>
                <w:sz w:val="24"/>
              </w:rPr>
            </w:pPr>
            <w:r>
              <w:rPr>
                <w:rFonts w:hint="eastAsia"/>
                <w:b/>
                <w:sz w:val="24"/>
              </w:rPr>
              <w:t>70</w:t>
            </w:r>
          </w:p>
        </w:tc>
        <w:tc>
          <w:tcPr>
            <w:tcW w:w="1915" w:type="dxa"/>
            <w:vAlign w:val="center"/>
          </w:tcPr>
          <w:p w:rsidR="006D75C9" w:rsidRDefault="000B15B3">
            <w:pPr>
              <w:pStyle w:val="af3"/>
              <w:rPr>
                <w:b/>
                <w:sz w:val="24"/>
              </w:rPr>
            </w:pPr>
            <w:r>
              <w:rPr>
                <w:rFonts w:hint="eastAsia"/>
                <w:b/>
                <w:sz w:val="24"/>
              </w:rPr>
              <w:t>355</w:t>
            </w:r>
          </w:p>
        </w:tc>
        <w:tc>
          <w:tcPr>
            <w:tcW w:w="1915" w:type="dxa"/>
            <w:vAlign w:val="center"/>
          </w:tcPr>
          <w:p w:rsidR="006D75C9" w:rsidRDefault="000B15B3">
            <w:pPr>
              <w:pStyle w:val="af3"/>
              <w:rPr>
                <w:b/>
                <w:sz w:val="24"/>
              </w:rPr>
            </w:pPr>
            <w:r>
              <w:rPr>
                <w:rFonts w:hint="eastAsia"/>
                <w:b/>
                <w:sz w:val="24"/>
              </w:rPr>
              <w:t>570</w:t>
            </w:r>
          </w:p>
        </w:tc>
      </w:tr>
    </w:tbl>
    <w:p w:rsidR="006D75C9" w:rsidRDefault="006D75C9"/>
    <w:p w:rsidR="006D75C9" w:rsidRDefault="006D75C9"/>
    <w:p w:rsidR="006D75C9" w:rsidRDefault="000B15B3">
      <w:pPr>
        <w:pStyle w:val="2"/>
        <w:numPr>
          <w:ilvl w:val="1"/>
          <w:numId w:val="0"/>
        </w:numPr>
        <w:spacing w:beforeLines="200" w:before="480" w:afterLines="150" w:after="360"/>
        <w:jc w:val="center"/>
      </w:pPr>
      <w:bookmarkStart w:id="20" w:name="_Toc430166400"/>
      <w:r>
        <w:rPr>
          <w:rFonts w:hint="eastAsia"/>
        </w:rPr>
        <w:t>第二节</w:t>
      </w:r>
      <w:r>
        <w:rPr>
          <w:rFonts w:hint="eastAsia"/>
        </w:rPr>
        <w:t xml:space="preserve">  </w:t>
      </w:r>
      <w:r>
        <w:rPr>
          <w:rFonts w:hint="eastAsia"/>
        </w:rPr>
        <w:t>客运枢纽站场布局方案</w:t>
      </w:r>
      <w:bookmarkEnd w:id="20"/>
    </w:p>
    <w:p w:rsidR="006D75C9" w:rsidRDefault="000B15B3">
      <w:pPr>
        <w:pStyle w:val="11"/>
      </w:pPr>
      <w:r>
        <w:rPr>
          <w:rFonts w:hint="eastAsia"/>
        </w:rPr>
        <w:t>梅州客运枢纽体系分为综合客运枢纽站和一般客运站两个层次。梅州市规划公路客运枢纽站</w:t>
      </w:r>
      <w:r>
        <w:rPr>
          <w:rFonts w:hint="eastAsia"/>
        </w:rPr>
        <w:t>5</w:t>
      </w:r>
      <w:r>
        <w:rPr>
          <w:rFonts w:hint="eastAsia"/>
        </w:rPr>
        <w:t>个，其中综合客运枢纽站</w:t>
      </w:r>
      <w:r>
        <w:rPr>
          <w:rFonts w:hint="eastAsia"/>
        </w:rPr>
        <w:t>1</w:t>
      </w:r>
      <w:r>
        <w:rPr>
          <w:rFonts w:hint="eastAsia"/>
        </w:rPr>
        <w:t>个，一般客运站</w:t>
      </w:r>
      <w:r>
        <w:rPr>
          <w:rFonts w:hint="eastAsia"/>
        </w:rPr>
        <w:t>4</w:t>
      </w:r>
      <w:r>
        <w:rPr>
          <w:rFonts w:hint="eastAsia"/>
        </w:rPr>
        <w:t>个。</w:t>
      </w:r>
    </w:p>
    <w:p w:rsidR="006D75C9" w:rsidRDefault="000B15B3">
      <w:pPr>
        <w:pStyle w:val="11"/>
      </w:pPr>
      <w:r>
        <w:rPr>
          <w:rFonts w:hint="eastAsia"/>
        </w:rPr>
        <w:t>（</w:t>
      </w:r>
      <w:r>
        <w:rPr>
          <w:rFonts w:hint="eastAsia"/>
        </w:rPr>
        <w:t>1</w:t>
      </w:r>
      <w:r>
        <w:rPr>
          <w:rFonts w:hint="eastAsia"/>
        </w:rPr>
        <w:t>）</w:t>
      </w:r>
      <w:r>
        <w:rPr>
          <w:rFonts w:hint="eastAsia"/>
          <w:b/>
        </w:rPr>
        <w:t>梅州综合客运枢纽站</w:t>
      </w:r>
    </w:p>
    <w:p w:rsidR="006D75C9" w:rsidRDefault="000B15B3">
      <w:pPr>
        <w:pStyle w:val="11"/>
        <w:ind w:firstLine="602"/>
      </w:pPr>
      <w:r>
        <w:rPr>
          <w:rFonts w:hint="eastAsia"/>
          <w:b/>
        </w:rPr>
        <w:t>地理位置</w:t>
      </w:r>
      <w:r>
        <w:rPr>
          <w:rFonts w:hint="eastAsia"/>
        </w:rPr>
        <w:t>：梅州火车站站前广场西侧，市邮政局以东，客都大道以南。</w:t>
      </w:r>
    </w:p>
    <w:p w:rsidR="006D75C9" w:rsidRDefault="000B15B3">
      <w:pPr>
        <w:pStyle w:val="11"/>
        <w:ind w:firstLineChars="199" w:firstLine="599"/>
      </w:pPr>
      <w:r>
        <w:rPr>
          <w:rFonts w:hint="eastAsia"/>
          <w:b/>
        </w:rPr>
        <w:t>建设性质：</w:t>
      </w:r>
      <w:r>
        <w:rPr>
          <w:rFonts w:hint="eastAsia"/>
        </w:rPr>
        <w:t>新建。</w:t>
      </w:r>
    </w:p>
    <w:p w:rsidR="006D75C9" w:rsidRDefault="000B15B3">
      <w:pPr>
        <w:pStyle w:val="11"/>
        <w:ind w:firstLineChars="199" w:firstLine="599"/>
      </w:pPr>
      <w:r>
        <w:rPr>
          <w:rFonts w:hint="eastAsia"/>
          <w:b/>
        </w:rPr>
        <w:t>交通条件：</w:t>
      </w:r>
      <w:r>
        <w:rPr>
          <w:rFonts w:hint="eastAsia"/>
        </w:rPr>
        <w:t>紧邻彬芳大道、客都大道、中环路和规划的火车站公交枢纽站，实现市内客流的快速集散，特别是通过客都大道可快速进出梅州环城高速公路西段；通过中环路可便捷联系梅县机场</w:t>
      </w:r>
      <w:r>
        <w:rPr>
          <w:rFonts w:hint="eastAsia"/>
          <w:color w:val="000000"/>
        </w:rPr>
        <w:t>。</w:t>
      </w:r>
    </w:p>
    <w:p w:rsidR="006D75C9" w:rsidRDefault="000B15B3">
      <w:pPr>
        <w:pStyle w:val="11"/>
        <w:ind w:firstLine="602"/>
      </w:pPr>
      <w:r>
        <w:rPr>
          <w:rFonts w:hint="eastAsia"/>
          <w:b/>
        </w:rPr>
        <w:t>功能定位：</w:t>
      </w:r>
      <w:r>
        <w:rPr>
          <w:rFonts w:hint="eastAsia"/>
        </w:rPr>
        <w:t>该站为衔接铁路、航空、公路、公交、出租、社会车辆的综合客运枢纽站，规划其承担如下功能：</w:t>
      </w:r>
    </w:p>
    <w:p w:rsidR="006D75C9" w:rsidRDefault="000B15B3">
      <w:pPr>
        <w:pStyle w:val="11"/>
        <w:numPr>
          <w:ilvl w:val="0"/>
          <w:numId w:val="10"/>
        </w:numPr>
        <w:ind w:firstLineChars="0"/>
      </w:pPr>
      <w:r>
        <w:rPr>
          <w:rFonts w:hint="eastAsia"/>
        </w:rPr>
        <w:t>接驳火车站的到发旅客，利用公路站场发车时间间隔短的</w:t>
      </w:r>
      <w:r>
        <w:rPr>
          <w:rFonts w:hint="eastAsia"/>
        </w:rPr>
        <w:lastRenderedPageBreak/>
        <w:t>优势，实现公路与铁路之间旅客的换乘联运；</w:t>
      </w:r>
    </w:p>
    <w:p w:rsidR="006D75C9" w:rsidRDefault="000B15B3">
      <w:pPr>
        <w:pStyle w:val="11"/>
        <w:numPr>
          <w:ilvl w:val="0"/>
          <w:numId w:val="10"/>
        </w:numPr>
        <w:ind w:firstLineChars="0"/>
      </w:pPr>
      <w:r>
        <w:rPr>
          <w:rFonts w:hint="eastAsia"/>
        </w:rPr>
        <w:t>设置东部、南部方向的跨省、跨市客运班线，承担这两个方向的中长途旅客运输；</w:t>
      </w:r>
    </w:p>
    <w:p w:rsidR="006D75C9" w:rsidRDefault="000B15B3">
      <w:pPr>
        <w:pStyle w:val="11"/>
        <w:numPr>
          <w:ilvl w:val="0"/>
          <w:numId w:val="10"/>
        </w:numPr>
        <w:ind w:firstLineChars="0"/>
      </w:pPr>
      <w:r>
        <w:rPr>
          <w:rFonts w:hint="eastAsia"/>
        </w:rPr>
        <w:t>设置旅游班线，服务于梅州旅游客流的组织；</w:t>
      </w:r>
    </w:p>
    <w:p w:rsidR="006D75C9" w:rsidRDefault="000B15B3">
      <w:pPr>
        <w:pStyle w:val="11"/>
        <w:numPr>
          <w:ilvl w:val="0"/>
          <w:numId w:val="10"/>
        </w:numPr>
        <w:ind w:firstLineChars="0"/>
      </w:pPr>
      <w:r>
        <w:rPr>
          <w:rFonts w:hint="eastAsia"/>
        </w:rPr>
        <w:t>承担江南片区与其他县市的市域内短途客运；</w:t>
      </w:r>
    </w:p>
    <w:p w:rsidR="006D75C9" w:rsidRDefault="000B15B3">
      <w:pPr>
        <w:pStyle w:val="11"/>
        <w:numPr>
          <w:ilvl w:val="0"/>
          <w:numId w:val="10"/>
        </w:numPr>
        <w:ind w:firstLineChars="0"/>
      </w:pPr>
      <w:r>
        <w:rPr>
          <w:rFonts w:hint="eastAsia"/>
        </w:rPr>
        <w:t>利用距离梅县机场仅</w:t>
      </w:r>
      <w:r>
        <w:rPr>
          <w:rFonts w:hint="eastAsia"/>
        </w:rPr>
        <w:t>2</w:t>
      </w:r>
      <w:r>
        <w:rPr>
          <w:rFonts w:hint="eastAsia"/>
        </w:rPr>
        <w:t>公里的优势，设置短距离摆渡车，旅客可通过摆渡车实现机场与公路客运站之间的接驳。</w:t>
      </w:r>
    </w:p>
    <w:p w:rsidR="006D75C9" w:rsidRDefault="000B15B3">
      <w:pPr>
        <w:pStyle w:val="11"/>
        <w:ind w:firstLine="602"/>
      </w:pPr>
      <w:r>
        <w:rPr>
          <w:rFonts w:hint="eastAsia"/>
          <w:b/>
        </w:rPr>
        <w:t>占地规模：</w:t>
      </w:r>
      <w:r>
        <w:rPr>
          <w:rFonts w:hint="eastAsia"/>
        </w:rPr>
        <w:t>占地面积</w:t>
      </w:r>
      <w:r>
        <w:rPr>
          <w:rFonts w:hint="eastAsia"/>
        </w:rPr>
        <w:t>4.63</w:t>
      </w:r>
      <w:r>
        <w:rPr>
          <w:rFonts w:hint="eastAsia"/>
        </w:rPr>
        <w:t>万平方米（</w:t>
      </w:r>
      <w:r>
        <w:rPr>
          <w:rFonts w:hint="eastAsia"/>
        </w:rPr>
        <w:t>69.45</w:t>
      </w:r>
      <w:r>
        <w:rPr>
          <w:rFonts w:hint="eastAsia"/>
        </w:rPr>
        <w:t>亩），规划为一级客运站，设计发送能力</w:t>
      </w:r>
      <w:r>
        <w:rPr>
          <w:rFonts w:hint="eastAsia"/>
        </w:rPr>
        <w:t>1.0</w:t>
      </w:r>
      <w:r>
        <w:rPr>
          <w:rFonts w:hint="eastAsia"/>
        </w:rPr>
        <w:t>万人次</w:t>
      </w:r>
      <w:r>
        <w:rPr>
          <w:rFonts w:hint="eastAsia"/>
        </w:rPr>
        <w:t>/</w:t>
      </w:r>
      <w:r>
        <w:rPr>
          <w:rFonts w:hint="eastAsia"/>
        </w:rPr>
        <w:t>日。</w:t>
      </w:r>
    </w:p>
    <w:p w:rsidR="006D75C9" w:rsidRDefault="000B15B3">
      <w:pPr>
        <w:pStyle w:val="11"/>
        <w:ind w:firstLine="602"/>
        <w:rPr>
          <w:b/>
        </w:rPr>
      </w:pPr>
      <w:r>
        <w:rPr>
          <w:rFonts w:hint="eastAsia"/>
          <w:b/>
        </w:rPr>
        <w:t>（</w:t>
      </w:r>
      <w:r>
        <w:rPr>
          <w:rFonts w:hint="eastAsia"/>
          <w:b/>
        </w:rPr>
        <w:t>2</w:t>
      </w:r>
      <w:r>
        <w:rPr>
          <w:rFonts w:hint="eastAsia"/>
          <w:b/>
        </w:rPr>
        <w:t>）梅州西综合客运枢纽站</w:t>
      </w:r>
    </w:p>
    <w:p w:rsidR="006D75C9" w:rsidRDefault="000B15B3">
      <w:pPr>
        <w:pStyle w:val="11"/>
        <w:ind w:firstLine="602"/>
      </w:pPr>
      <w:r>
        <w:rPr>
          <w:rFonts w:hint="eastAsia"/>
          <w:b/>
        </w:rPr>
        <w:t>地理位置</w:t>
      </w:r>
      <w:r>
        <w:rPr>
          <w:rFonts w:hint="eastAsia"/>
        </w:rPr>
        <w:t>：梅县区组团梅州环城高速公路西段西侧，高铁站场同侧。</w:t>
      </w:r>
    </w:p>
    <w:p w:rsidR="006D75C9" w:rsidRDefault="000B15B3">
      <w:pPr>
        <w:pStyle w:val="11"/>
        <w:ind w:firstLine="602"/>
      </w:pPr>
      <w:r>
        <w:rPr>
          <w:rFonts w:hint="eastAsia"/>
          <w:b/>
        </w:rPr>
        <w:t>建设性质</w:t>
      </w:r>
      <w:r>
        <w:rPr>
          <w:rFonts w:hint="eastAsia"/>
        </w:rPr>
        <w:t>：新建。</w:t>
      </w:r>
    </w:p>
    <w:p w:rsidR="006D75C9" w:rsidRDefault="000B15B3">
      <w:pPr>
        <w:pStyle w:val="11"/>
        <w:ind w:firstLine="602"/>
      </w:pPr>
      <w:r>
        <w:rPr>
          <w:rFonts w:hint="eastAsia"/>
          <w:b/>
        </w:rPr>
        <w:t>交通条件</w:t>
      </w:r>
      <w:r>
        <w:rPr>
          <w:rFonts w:hint="eastAsia"/>
        </w:rPr>
        <w:t>：该站紧靠梅州环城高速公路西段出入口和宪梓大道，通过梅州环城高速公路西段可连通长深高速公路、梅河高速公路、梅大高速公路、汕梅高速公路等，实现车辆的快速集散；规划公交站、出租汽车站与该站同步建设。</w:t>
      </w:r>
    </w:p>
    <w:p w:rsidR="006D75C9" w:rsidRDefault="000B15B3">
      <w:pPr>
        <w:pStyle w:val="11"/>
        <w:ind w:firstLine="602"/>
      </w:pPr>
      <w:r>
        <w:rPr>
          <w:rFonts w:hint="eastAsia"/>
          <w:b/>
        </w:rPr>
        <w:t>功能定位</w:t>
      </w:r>
      <w:r>
        <w:rPr>
          <w:rFonts w:hint="eastAsia"/>
        </w:rPr>
        <w:t>：规划功能主要有：承担梅州西高铁站旅客在梅州市域的集疏运，以及梅县区与其他县市的市域内短途客运。</w:t>
      </w:r>
    </w:p>
    <w:p w:rsidR="006D75C9" w:rsidRDefault="000B15B3">
      <w:pPr>
        <w:pStyle w:val="11"/>
        <w:ind w:firstLine="602"/>
      </w:pPr>
      <w:r>
        <w:rPr>
          <w:rFonts w:hint="eastAsia"/>
          <w:b/>
        </w:rPr>
        <w:t>占地规模</w:t>
      </w:r>
      <w:r>
        <w:rPr>
          <w:rFonts w:hint="eastAsia"/>
        </w:rPr>
        <w:t>：占地面积约</w:t>
      </w:r>
      <w:r>
        <w:rPr>
          <w:rFonts w:hint="eastAsia"/>
        </w:rPr>
        <w:t>5</w:t>
      </w:r>
      <w:r>
        <w:rPr>
          <w:rFonts w:hint="eastAsia"/>
        </w:rPr>
        <w:t>万平方米（约合</w:t>
      </w:r>
      <w:r>
        <w:rPr>
          <w:rFonts w:hint="eastAsia"/>
        </w:rPr>
        <w:t>75</w:t>
      </w:r>
      <w:r>
        <w:rPr>
          <w:rFonts w:hint="eastAsia"/>
        </w:rPr>
        <w:t>亩），规划为一级客运站，设计发送能力</w:t>
      </w:r>
      <w:r>
        <w:rPr>
          <w:rFonts w:hint="eastAsia"/>
        </w:rPr>
        <w:t>1.2</w:t>
      </w:r>
      <w:r>
        <w:rPr>
          <w:rFonts w:hint="eastAsia"/>
        </w:rPr>
        <w:t>万人次</w:t>
      </w:r>
      <w:r>
        <w:rPr>
          <w:rFonts w:hint="eastAsia"/>
        </w:rPr>
        <w:t>/</w:t>
      </w:r>
      <w:r>
        <w:rPr>
          <w:rFonts w:hint="eastAsia"/>
        </w:rPr>
        <w:t>日</w:t>
      </w:r>
      <w:r>
        <w:rPr>
          <w:rFonts w:hint="eastAsia"/>
        </w:rPr>
        <w:t>,</w:t>
      </w:r>
      <w:r>
        <w:rPr>
          <w:rFonts w:hint="eastAsia"/>
        </w:rPr>
        <w:t>。</w:t>
      </w:r>
    </w:p>
    <w:p w:rsidR="006D75C9" w:rsidRDefault="000B15B3">
      <w:pPr>
        <w:pStyle w:val="11"/>
        <w:ind w:firstLine="602"/>
      </w:pPr>
      <w:r>
        <w:rPr>
          <w:rFonts w:hint="eastAsia"/>
          <w:b/>
        </w:rPr>
        <w:t>（</w:t>
      </w:r>
      <w:r>
        <w:rPr>
          <w:rFonts w:hint="eastAsia"/>
          <w:b/>
        </w:rPr>
        <w:t>3</w:t>
      </w:r>
      <w:r>
        <w:rPr>
          <w:rFonts w:hint="eastAsia"/>
          <w:b/>
        </w:rPr>
        <w:t>）梅州江北客运站</w:t>
      </w:r>
    </w:p>
    <w:p w:rsidR="006D75C9" w:rsidRDefault="000B15B3">
      <w:pPr>
        <w:pStyle w:val="11"/>
        <w:ind w:firstLine="602"/>
      </w:pPr>
      <w:r>
        <w:rPr>
          <w:rFonts w:hint="eastAsia"/>
          <w:b/>
        </w:rPr>
        <w:t>地理位置</w:t>
      </w:r>
      <w:r>
        <w:rPr>
          <w:rFonts w:hint="eastAsia"/>
        </w:rPr>
        <w:t>：梅州大道与大浪口路交叉的西南角。</w:t>
      </w:r>
    </w:p>
    <w:p w:rsidR="006D75C9" w:rsidRDefault="000B15B3">
      <w:pPr>
        <w:pStyle w:val="11"/>
        <w:ind w:firstLineChars="199" w:firstLine="599"/>
      </w:pPr>
      <w:r>
        <w:rPr>
          <w:rFonts w:hint="eastAsia"/>
          <w:b/>
        </w:rPr>
        <w:lastRenderedPageBreak/>
        <w:t>建设性质：</w:t>
      </w:r>
      <w:r>
        <w:rPr>
          <w:rFonts w:hint="eastAsia"/>
        </w:rPr>
        <w:t>改建，由梅州汽车客运总站进行改建。</w:t>
      </w:r>
    </w:p>
    <w:p w:rsidR="006D75C9" w:rsidRDefault="000B15B3">
      <w:pPr>
        <w:pStyle w:val="11"/>
        <w:ind w:firstLine="602"/>
        <w:rPr>
          <w:b/>
        </w:rPr>
      </w:pPr>
      <w:r>
        <w:rPr>
          <w:rFonts w:hint="eastAsia"/>
          <w:b/>
        </w:rPr>
        <w:t>交通条件</w:t>
      </w:r>
      <w:r>
        <w:rPr>
          <w:rFonts w:hint="eastAsia"/>
        </w:rPr>
        <w:t>：紧邻梅州大道，可连通城市主骨架道路；大浪口路远期为城市干道，通过大浪口路可连通城市中环路，进而连通</w:t>
      </w:r>
      <w:r>
        <w:rPr>
          <w:rFonts w:hint="eastAsia"/>
        </w:rPr>
        <w:t>G205</w:t>
      </w:r>
      <w:r>
        <w:rPr>
          <w:rFonts w:hint="eastAsia"/>
        </w:rPr>
        <w:t>和城市外环路，进出高速公路网。</w:t>
      </w:r>
    </w:p>
    <w:p w:rsidR="006D75C9" w:rsidRDefault="000B15B3">
      <w:pPr>
        <w:pStyle w:val="11"/>
        <w:ind w:firstLine="602"/>
      </w:pPr>
      <w:r>
        <w:rPr>
          <w:rFonts w:hint="eastAsia"/>
          <w:b/>
        </w:rPr>
        <w:t>功能定位：</w:t>
      </w:r>
      <w:r>
        <w:rPr>
          <w:rFonts w:hint="eastAsia"/>
        </w:rPr>
        <w:t>规划功能主要有：一是主要承担江北组团与珠三角等西部地区的跨省、市的旅客运输，二是承担部分江北组团与西北部、北部等方向的跨省、市的旅客运输，三是承担江北组团与其他县市的市域内短途客运。</w:t>
      </w:r>
    </w:p>
    <w:p w:rsidR="006D75C9" w:rsidRDefault="000B15B3">
      <w:pPr>
        <w:pStyle w:val="11"/>
        <w:ind w:firstLine="602"/>
      </w:pPr>
      <w:r>
        <w:rPr>
          <w:rFonts w:hint="eastAsia"/>
          <w:b/>
        </w:rPr>
        <w:t>占地规模：</w:t>
      </w:r>
      <w:r>
        <w:rPr>
          <w:rFonts w:hint="eastAsia"/>
        </w:rPr>
        <w:t>占地面积</w:t>
      </w:r>
      <w:r>
        <w:rPr>
          <w:rFonts w:hint="eastAsia"/>
        </w:rPr>
        <w:t>3.6</w:t>
      </w:r>
      <w:r>
        <w:rPr>
          <w:rFonts w:hint="eastAsia"/>
        </w:rPr>
        <w:t>万平方米（</w:t>
      </w:r>
      <w:r>
        <w:rPr>
          <w:rFonts w:hint="eastAsia"/>
        </w:rPr>
        <w:t>54</w:t>
      </w:r>
      <w:r>
        <w:rPr>
          <w:rFonts w:hint="eastAsia"/>
        </w:rPr>
        <w:t>亩），规划为一级客运站，设计发送能力</w:t>
      </w:r>
      <w:r>
        <w:rPr>
          <w:rFonts w:hint="eastAsia"/>
        </w:rPr>
        <w:t>1.1</w:t>
      </w:r>
      <w:r>
        <w:rPr>
          <w:rFonts w:hint="eastAsia"/>
        </w:rPr>
        <w:t>万人次</w:t>
      </w:r>
      <w:r>
        <w:rPr>
          <w:rFonts w:hint="eastAsia"/>
        </w:rPr>
        <w:t>/</w:t>
      </w:r>
      <w:r>
        <w:rPr>
          <w:rFonts w:hint="eastAsia"/>
        </w:rPr>
        <w:t>日。</w:t>
      </w:r>
    </w:p>
    <w:p w:rsidR="006D75C9" w:rsidRDefault="000B15B3">
      <w:pPr>
        <w:pStyle w:val="11"/>
        <w:keepNext/>
        <w:ind w:firstLine="602"/>
        <w:rPr>
          <w:b/>
        </w:rPr>
      </w:pPr>
      <w:r>
        <w:rPr>
          <w:rFonts w:hint="eastAsia"/>
          <w:b/>
        </w:rPr>
        <w:t>（</w:t>
      </w:r>
      <w:r>
        <w:rPr>
          <w:rFonts w:hint="eastAsia"/>
          <w:b/>
        </w:rPr>
        <w:t>4</w:t>
      </w:r>
      <w:r>
        <w:rPr>
          <w:rFonts w:hint="eastAsia"/>
          <w:b/>
        </w:rPr>
        <w:t>）梅州金盘客运站</w:t>
      </w:r>
    </w:p>
    <w:p w:rsidR="006D75C9" w:rsidRDefault="000B15B3">
      <w:pPr>
        <w:pStyle w:val="11"/>
        <w:ind w:firstLine="602"/>
      </w:pPr>
      <w:r>
        <w:rPr>
          <w:rFonts w:hint="eastAsia"/>
          <w:b/>
        </w:rPr>
        <w:t>地理位置</w:t>
      </w:r>
      <w:r>
        <w:rPr>
          <w:rFonts w:hint="eastAsia"/>
        </w:rPr>
        <w:t>：梅江区八环水泥厂北侧，国道</w:t>
      </w:r>
      <w:r>
        <w:rPr>
          <w:rFonts w:hint="eastAsia"/>
        </w:rPr>
        <w:t>G205</w:t>
      </w:r>
      <w:r>
        <w:rPr>
          <w:rFonts w:hint="eastAsia"/>
        </w:rPr>
        <w:t>以西</w:t>
      </w:r>
      <w:r>
        <w:rPr>
          <w:rFonts w:hint="eastAsia"/>
        </w:rPr>
        <w:t>160</w:t>
      </w:r>
      <w:r>
        <w:rPr>
          <w:rFonts w:hint="eastAsia"/>
        </w:rPr>
        <w:t>米外。</w:t>
      </w:r>
    </w:p>
    <w:p w:rsidR="006D75C9" w:rsidRDefault="000B15B3">
      <w:pPr>
        <w:pStyle w:val="11"/>
        <w:ind w:firstLineChars="199" w:firstLine="599"/>
      </w:pPr>
      <w:r>
        <w:rPr>
          <w:rFonts w:hint="eastAsia"/>
          <w:b/>
        </w:rPr>
        <w:t>建设性质：</w:t>
      </w:r>
      <w:r>
        <w:rPr>
          <w:rFonts w:hint="eastAsia"/>
        </w:rPr>
        <w:t>新建。</w:t>
      </w:r>
    </w:p>
    <w:p w:rsidR="006D75C9" w:rsidRDefault="000B15B3">
      <w:pPr>
        <w:pStyle w:val="11"/>
        <w:ind w:firstLine="602"/>
        <w:rPr>
          <w:b/>
        </w:rPr>
      </w:pPr>
      <w:r>
        <w:rPr>
          <w:rFonts w:hint="eastAsia"/>
          <w:b/>
        </w:rPr>
        <w:t>交通条件</w:t>
      </w:r>
      <w:r>
        <w:rPr>
          <w:rFonts w:hint="eastAsia"/>
        </w:rPr>
        <w:t>：紧邻国道</w:t>
      </w:r>
      <w:r>
        <w:rPr>
          <w:rFonts w:hint="eastAsia"/>
        </w:rPr>
        <w:t>G205</w:t>
      </w:r>
      <w:r>
        <w:rPr>
          <w:rFonts w:hint="eastAsia"/>
        </w:rPr>
        <w:t>，可连通城市主骨架道路；距汕梅高速公路出入口</w:t>
      </w:r>
      <w:r>
        <w:rPr>
          <w:rFonts w:hint="eastAsia"/>
        </w:rPr>
        <w:t>3.5</w:t>
      </w:r>
      <w:r>
        <w:rPr>
          <w:rFonts w:hint="eastAsia"/>
        </w:rPr>
        <w:t>公里，能够方便的进出高速公路网；规划有公交线路和站点。</w:t>
      </w:r>
    </w:p>
    <w:p w:rsidR="006D75C9" w:rsidRDefault="000B15B3">
      <w:pPr>
        <w:pStyle w:val="11"/>
        <w:ind w:firstLine="602"/>
      </w:pPr>
      <w:r>
        <w:rPr>
          <w:rFonts w:hint="eastAsia"/>
          <w:b/>
        </w:rPr>
        <w:t>功能定位：</w:t>
      </w:r>
      <w:r>
        <w:rPr>
          <w:rFonts w:hint="eastAsia"/>
        </w:rPr>
        <w:t>规划“十三五”期间梅州江北客运站能力基本饱和后建设，以分担梅州江北客运站客流为主，规划其主要功能：一是主要承担江北及城西组团部分往西北部、北部和西部等三个方向的跨省、市的旅客运输，二是承担部分江北及城西组团与其他县市的市域内短途客运。</w:t>
      </w:r>
    </w:p>
    <w:p w:rsidR="006D75C9" w:rsidRDefault="000B15B3">
      <w:pPr>
        <w:pStyle w:val="11"/>
        <w:ind w:firstLine="602"/>
      </w:pPr>
      <w:r>
        <w:rPr>
          <w:rFonts w:hint="eastAsia"/>
          <w:b/>
        </w:rPr>
        <w:t>占地规模</w:t>
      </w:r>
      <w:r>
        <w:rPr>
          <w:rFonts w:hint="eastAsia"/>
        </w:rPr>
        <w:t>：占地面积</w:t>
      </w:r>
      <w:r>
        <w:rPr>
          <w:rFonts w:hint="eastAsia"/>
        </w:rPr>
        <w:t>4.1</w:t>
      </w:r>
      <w:r>
        <w:rPr>
          <w:rFonts w:hint="eastAsia"/>
        </w:rPr>
        <w:t>万平方米（</w:t>
      </w:r>
      <w:r>
        <w:rPr>
          <w:rFonts w:hint="eastAsia"/>
        </w:rPr>
        <w:t>61.5</w:t>
      </w:r>
      <w:r>
        <w:rPr>
          <w:rFonts w:hint="eastAsia"/>
        </w:rPr>
        <w:t>亩），规划为一级客运站，设计发送能力</w:t>
      </w:r>
      <w:r>
        <w:rPr>
          <w:rFonts w:hint="eastAsia"/>
        </w:rPr>
        <w:t>1</w:t>
      </w:r>
      <w:r>
        <w:rPr>
          <w:rFonts w:hint="eastAsia"/>
        </w:rPr>
        <w:t>万人次</w:t>
      </w:r>
      <w:r>
        <w:rPr>
          <w:rFonts w:hint="eastAsia"/>
        </w:rPr>
        <w:t>/</w:t>
      </w:r>
      <w:r>
        <w:rPr>
          <w:rFonts w:hint="eastAsia"/>
        </w:rPr>
        <w:t>日。</w:t>
      </w:r>
    </w:p>
    <w:p w:rsidR="006D75C9" w:rsidRDefault="000B15B3">
      <w:pPr>
        <w:pStyle w:val="11"/>
        <w:keepNext/>
        <w:ind w:firstLine="602"/>
        <w:rPr>
          <w:b/>
        </w:rPr>
      </w:pPr>
      <w:r>
        <w:rPr>
          <w:rFonts w:hint="eastAsia"/>
          <w:b/>
        </w:rPr>
        <w:lastRenderedPageBreak/>
        <w:t>（</w:t>
      </w:r>
      <w:r>
        <w:rPr>
          <w:rFonts w:hint="eastAsia"/>
          <w:b/>
        </w:rPr>
        <w:t>5</w:t>
      </w:r>
      <w:r>
        <w:rPr>
          <w:rFonts w:hint="eastAsia"/>
          <w:b/>
        </w:rPr>
        <w:t>）梅州畲江客运站</w:t>
      </w:r>
    </w:p>
    <w:p w:rsidR="006D75C9" w:rsidRDefault="000B15B3">
      <w:pPr>
        <w:pStyle w:val="11"/>
        <w:ind w:firstLine="602"/>
        <w:rPr>
          <w:b/>
        </w:rPr>
      </w:pPr>
      <w:r>
        <w:rPr>
          <w:rFonts w:hint="eastAsia"/>
          <w:b/>
        </w:rPr>
        <w:t>地理位置</w:t>
      </w:r>
      <w:r>
        <w:rPr>
          <w:rFonts w:hint="eastAsia"/>
        </w:rPr>
        <w:t>：梅江和</w:t>
      </w:r>
      <w:r>
        <w:rPr>
          <w:rFonts w:hint="eastAsia"/>
        </w:rPr>
        <w:t>G206</w:t>
      </w:r>
      <w:r>
        <w:rPr>
          <w:rFonts w:hint="eastAsia"/>
        </w:rPr>
        <w:t>以南，畲江工业园首期开发用地西部。</w:t>
      </w:r>
    </w:p>
    <w:p w:rsidR="006D75C9" w:rsidRDefault="000B15B3">
      <w:pPr>
        <w:pStyle w:val="11"/>
        <w:ind w:firstLineChars="199" w:firstLine="599"/>
      </w:pPr>
      <w:r>
        <w:rPr>
          <w:rFonts w:hint="eastAsia"/>
          <w:b/>
        </w:rPr>
        <w:t>建设性质：</w:t>
      </w:r>
      <w:r>
        <w:rPr>
          <w:rFonts w:hint="eastAsia"/>
        </w:rPr>
        <w:t>新建。</w:t>
      </w:r>
    </w:p>
    <w:p w:rsidR="006D75C9" w:rsidRDefault="000B15B3">
      <w:pPr>
        <w:pStyle w:val="11"/>
        <w:ind w:firstLine="602"/>
        <w:rPr>
          <w:b/>
        </w:rPr>
      </w:pPr>
      <w:r>
        <w:rPr>
          <w:rFonts w:hint="eastAsia"/>
          <w:b/>
        </w:rPr>
        <w:t>交通条件：</w:t>
      </w:r>
      <w:r>
        <w:rPr>
          <w:rFonts w:hint="eastAsia"/>
        </w:rPr>
        <w:t>紧靠</w:t>
      </w:r>
      <w:r>
        <w:rPr>
          <w:rFonts w:hint="eastAsia"/>
        </w:rPr>
        <w:t>G206</w:t>
      </w:r>
      <w:r>
        <w:rPr>
          <w:rFonts w:hint="eastAsia"/>
        </w:rPr>
        <w:t>，车辆可通过</w:t>
      </w:r>
      <w:r>
        <w:rPr>
          <w:rFonts w:hint="eastAsia"/>
        </w:rPr>
        <w:t>G206</w:t>
      </w:r>
      <w:r>
        <w:rPr>
          <w:rFonts w:hint="eastAsia"/>
        </w:rPr>
        <w:t>、汕昆高速公路兴宁至畲江段和汕昆高速公路汕头至梅州段（汕梅高速公路）快速集散，便于交通组织。</w:t>
      </w:r>
    </w:p>
    <w:p w:rsidR="006D75C9" w:rsidRDefault="000B15B3">
      <w:pPr>
        <w:pStyle w:val="11"/>
        <w:ind w:firstLine="602"/>
      </w:pPr>
      <w:r>
        <w:rPr>
          <w:rFonts w:hint="eastAsia"/>
          <w:b/>
        </w:rPr>
        <w:t>功能定位：</w:t>
      </w:r>
      <w:r>
        <w:rPr>
          <w:rFonts w:hint="eastAsia"/>
        </w:rPr>
        <w:t>该站是梅州公路客运枢纽的重要组成部分，主要服务于畲江组团的通勤出行及商务出行，承担该组团各主要客流方向的省际、市际及市域内的旅客发送任务；同时也可承担部分汕揭潮地区与河源、珠三角等地的中转客流。</w:t>
      </w:r>
    </w:p>
    <w:p w:rsidR="006D75C9" w:rsidRDefault="000B15B3">
      <w:pPr>
        <w:pStyle w:val="11"/>
        <w:ind w:firstLine="602"/>
      </w:pPr>
      <w:r>
        <w:rPr>
          <w:rFonts w:hint="eastAsia"/>
          <w:b/>
        </w:rPr>
        <w:t>占地规模：</w:t>
      </w:r>
      <w:r>
        <w:rPr>
          <w:rFonts w:hint="eastAsia"/>
        </w:rPr>
        <w:t>占地面积</w:t>
      </w:r>
      <w:r>
        <w:rPr>
          <w:rFonts w:hint="eastAsia"/>
        </w:rPr>
        <w:t>3.6</w:t>
      </w:r>
      <w:r>
        <w:rPr>
          <w:rFonts w:hint="eastAsia"/>
        </w:rPr>
        <w:t>万平方米（</w:t>
      </w:r>
      <w:r>
        <w:rPr>
          <w:rFonts w:hint="eastAsia"/>
        </w:rPr>
        <w:t>54</w:t>
      </w:r>
      <w:r>
        <w:rPr>
          <w:rFonts w:hint="eastAsia"/>
        </w:rPr>
        <w:t>亩），规划为一级客运站，与城市公交车站同步建设，设计发送能力</w:t>
      </w:r>
      <w:r>
        <w:rPr>
          <w:rFonts w:hint="eastAsia"/>
        </w:rPr>
        <w:t>0.8</w:t>
      </w:r>
      <w:r>
        <w:rPr>
          <w:rFonts w:hint="eastAsia"/>
        </w:rPr>
        <w:t>万人次</w:t>
      </w:r>
      <w:r>
        <w:rPr>
          <w:rFonts w:hint="eastAsia"/>
        </w:rPr>
        <w:t>/</w:t>
      </w:r>
      <w:r>
        <w:rPr>
          <w:rFonts w:hint="eastAsia"/>
        </w:rPr>
        <w:t>日。</w:t>
      </w:r>
    </w:p>
    <w:p w:rsidR="006D75C9" w:rsidRDefault="00ED2BFC">
      <w:pPr>
        <w:jc w:val="center"/>
        <w:rPr>
          <w:vertAlign w:val="subscript"/>
        </w:rPr>
      </w:pPr>
      <w:r>
        <w:rPr>
          <w:noProof/>
          <w:vertAlign w:val="subscript"/>
        </w:rPr>
        <w:drawing>
          <wp:inline distT="0" distB="0" distL="0" distR="0">
            <wp:extent cx="3294123" cy="33930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客运-畲江3.2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3590" cy="3392496"/>
                    </a:xfrm>
                    <a:prstGeom prst="rect">
                      <a:avLst/>
                    </a:prstGeom>
                  </pic:spPr>
                </pic:pic>
              </a:graphicData>
            </a:graphic>
          </wp:inline>
        </w:drawing>
      </w:r>
    </w:p>
    <w:p w:rsidR="006D75C9" w:rsidRDefault="000B15B3">
      <w:pPr>
        <w:pStyle w:val="a"/>
        <w:spacing w:before="120" w:after="120"/>
      </w:pPr>
      <w:r>
        <w:rPr>
          <w:rFonts w:hint="eastAsia"/>
        </w:rPr>
        <w:t>梅州国家公路运输枢纽客运站场布局规划图（畲江新城）</w:t>
      </w:r>
    </w:p>
    <w:p w:rsidR="006D75C9" w:rsidRDefault="006D75C9">
      <w:pPr>
        <w:pStyle w:val="a0"/>
        <w:sectPr w:rsidR="006D75C9">
          <w:headerReference w:type="default" r:id="rId13"/>
          <w:footerReference w:type="default" r:id="rId14"/>
          <w:pgSz w:w="11906" w:h="16838"/>
          <w:pgMar w:top="1474" w:right="1418" w:bottom="1418" w:left="1985" w:header="851" w:footer="851" w:gutter="0"/>
          <w:pgNumType w:start="1"/>
          <w:cols w:space="425"/>
          <w:docGrid w:linePitch="312" w:charSpace="640"/>
        </w:sectPr>
      </w:pPr>
    </w:p>
    <w:p w:rsidR="006D75C9" w:rsidRDefault="00907CE2">
      <w:pPr>
        <w:pStyle w:val="a0"/>
        <w:numPr>
          <w:ilvl w:val="0"/>
          <w:numId w:val="0"/>
        </w:numPr>
      </w:pPr>
      <w:r>
        <w:rPr>
          <w:noProof/>
        </w:rPr>
        <w:lastRenderedPageBreak/>
        <w:drawing>
          <wp:inline distT="0" distB="0" distL="0" distR="0">
            <wp:extent cx="7743825" cy="5448300"/>
            <wp:effectExtent l="0" t="0" r="9525" b="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43825" cy="5448300"/>
                    </a:xfrm>
                    <a:prstGeom prst="rect">
                      <a:avLst/>
                    </a:prstGeom>
                    <a:noFill/>
                    <a:ln>
                      <a:noFill/>
                    </a:ln>
                  </pic:spPr>
                </pic:pic>
              </a:graphicData>
            </a:graphic>
          </wp:inline>
        </w:drawing>
      </w:r>
    </w:p>
    <w:p w:rsidR="006D75C9" w:rsidRDefault="000B15B3">
      <w:pPr>
        <w:pStyle w:val="a0"/>
        <w:numPr>
          <w:ilvl w:val="0"/>
          <w:numId w:val="0"/>
        </w:numPr>
      </w:pPr>
      <w:r>
        <w:rPr>
          <w:rFonts w:hint="eastAsia"/>
        </w:rPr>
        <w:t>图</w:t>
      </w:r>
      <w:r>
        <w:rPr>
          <w:rFonts w:hint="eastAsia"/>
        </w:rPr>
        <w:t xml:space="preserve">2    </w:t>
      </w:r>
      <w:r>
        <w:rPr>
          <w:rFonts w:hint="eastAsia"/>
        </w:rPr>
        <w:t>梅州国家公路运输枢纽客运站场布局规划图（中心城区）</w:t>
      </w:r>
    </w:p>
    <w:p w:rsidR="006D75C9" w:rsidRDefault="000B15B3">
      <w:pPr>
        <w:pStyle w:val="a0"/>
      </w:pPr>
      <w:r>
        <w:rPr>
          <w:rFonts w:hint="eastAsia"/>
        </w:rPr>
        <w:lastRenderedPageBreak/>
        <w:t>梅州公路客运枢纽推荐布局方案</w:t>
      </w:r>
    </w:p>
    <w:tbl>
      <w:tblPr>
        <w:tblW w:w="141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640"/>
        <w:gridCol w:w="1055"/>
        <w:gridCol w:w="1996"/>
        <w:gridCol w:w="787"/>
        <w:gridCol w:w="650"/>
        <w:gridCol w:w="1457"/>
        <w:gridCol w:w="1365"/>
        <w:gridCol w:w="6239"/>
      </w:tblGrid>
      <w:tr w:rsidR="006D75C9">
        <w:trPr>
          <w:trHeight w:val="774"/>
          <w:jc w:val="center"/>
        </w:trPr>
        <w:tc>
          <w:tcPr>
            <w:tcW w:w="640" w:type="dxa"/>
            <w:vAlign w:val="center"/>
          </w:tcPr>
          <w:p w:rsidR="006D75C9" w:rsidRDefault="000B15B3">
            <w:pPr>
              <w:pStyle w:val="af3"/>
            </w:pPr>
            <w:r>
              <w:rPr>
                <w:rFonts w:hint="eastAsia"/>
              </w:rPr>
              <w:t>序号</w:t>
            </w:r>
          </w:p>
        </w:tc>
        <w:tc>
          <w:tcPr>
            <w:tcW w:w="1055" w:type="dxa"/>
            <w:vAlign w:val="center"/>
          </w:tcPr>
          <w:p w:rsidR="006D75C9" w:rsidRDefault="000B15B3">
            <w:pPr>
              <w:pStyle w:val="af3"/>
            </w:pPr>
            <w:r>
              <w:rPr>
                <w:rFonts w:hint="eastAsia"/>
              </w:rPr>
              <w:t>站场名称</w:t>
            </w:r>
          </w:p>
        </w:tc>
        <w:tc>
          <w:tcPr>
            <w:tcW w:w="1996" w:type="dxa"/>
            <w:vAlign w:val="center"/>
          </w:tcPr>
          <w:p w:rsidR="006D75C9" w:rsidRDefault="000B15B3">
            <w:pPr>
              <w:pStyle w:val="af3"/>
            </w:pPr>
            <w:r>
              <w:rPr>
                <w:rFonts w:hint="eastAsia"/>
              </w:rPr>
              <w:t>地理位置</w:t>
            </w:r>
          </w:p>
        </w:tc>
        <w:tc>
          <w:tcPr>
            <w:tcW w:w="787" w:type="dxa"/>
            <w:vAlign w:val="center"/>
          </w:tcPr>
          <w:p w:rsidR="006D75C9" w:rsidRDefault="000B15B3">
            <w:pPr>
              <w:pStyle w:val="af3"/>
            </w:pPr>
            <w:r>
              <w:rPr>
                <w:rFonts w:hint="eastAsia"/>
              </w:rPr>
              <w:t>建设</w:t>
            </w:r>
          </w:p>
          <w:p w:rsidR="006D75C9" w:rsidRDefault="000B15B3">
            <w:pPr>
              <w:pStyle w:val="af3"/>
            </w:pPr>
            <w:r>
              <w:rPr>
                <w:rFonts w:hint="eastAsia"/>
              </w:rPr>
              <w:t>性质</w:t>
            </w:r>
          </w:p>
        </w:tc>
        <w:tc>
          <w:tcPr>
            <w:tcW w:w="650" w:type="dxa"/>
            <w:vAlign w:val="center"/>
          </w:tcPr>
          <w:p w:rsidR="006D75C9" w:rsidRDefault="000B15B3">
            <w:pPr>
              <w:pStyle w:val="af3"/>
            </w:pPr>
            <w:r>
              <w:rPr>
                <w:rFonts w:hint="eastAsia"/>
              </w:rPr>
              <w:t>站级</w:t>
            </w:r>
          </w:p>
        </w:tc>
        <w:tc>
          <w:tcPr>
            <w:tcW w:w="1457" w:type="dxa"/>
            <w:vAlign w:val="center"/>
          </w:tcPr>
          <w:p w:rsidR="006D75C9" w:rsidRDefault="000B15B3">
            <w:pPr>
              <w:pStyle w:val="af3"/>
            </w:pPr>
            <w:r>
              <w:rPr>
                <w:rFonts w:hint="eastAsia"/>
              </w:rPr>
              <w:t>占地面积</w:t>
            </w:r>
          </w:p>
        </w:tc>
        <w:tc>
          <w:tcPr>
            <w:tcW w:w="1365" w:type="dxa"/>
            <w:vAlign w:val="center"/>
          </w:tcPr>
          <w:p w:rsidR="006D75C9" w:rsidRDefault="000B15B3">
            <w:pPr>
              <w:pStyle w:val="af3"/>
            </w:pPr>
            <w:r>
              <w:rPr>
                <w:rFonts w:hint="eastAsia"/>
              </w:rPr>
              <w:t>设计发送能力</w:t>
            </w:r>
          </w:p>
          <w:p w:rsidR="006D75C9" w:rsidRDefault="000B15B3">
            <w:pPr>
              <w:pStyle w:val="af3"/>
            </w:pPr>
            <w:r>
              <w:rPr>
                <w:rFonts w:hint="eastAsia"/>
              </w:rPr>
              <w:t>(</w:t>
            </w:r>
            <w:r>
              <w:rPr>
                <w:rFonts w:hint="eastAsia"/>
              </w:rPr>
              <w:t>人次</w:t>
            </w:r>
            <w:r>
              <w:rPr>
                <w:rFonts w:hint="eastAsia"/>
              </w:rPr>
              <w:t>/</w:t>
            </w:r>
            <w:r>
              <w:rPr>
                <w:rFonts w:hint="eastAsia"/>
              </w:rPr>
              <w:t>日</w:t>
            </w:r>
            <w:r>
              <w:rPr>
                <w:rFonts w:hint="eastAsia"/>
              </w:rPr>
              <w:t>)</w:t>
            </w:r>
          </w:p>
        </w:tc>
        <w:tc>
          <w:tcPr>
            <w:tcW w:w="6239" w:type="dxa"/>
            <w:vAlign w:val="center"/>
          </w:tcPr>
          <w:p w:rsidR="006D75C9" w:rsidRDefault="000B15B3">
            <w:pPr>
              <w:pStyle w:val="af3"/>
            </w:pPr>
            <w:r>
              <w:rPr>
                <w:rFonts w:hint="eastAsia"/>
              </w:rPr>
              <w:t>功能定位</w:t>
            </w:r>
          </w:p>
        </w:tc>
      </w:tr>
      <w:tr w:rsidR="006D75C9">
        <w:trPr>
          <w:trHeight w:val="2314"/>
          <w:jc w:val="center"/>
        </w:trPr>
        <w:tc>
          <w:tcPr>
            <w:tcW w:w="640" w:type="dxa"/>
            <w:vAlign w:val="center"/>
          </w:tcPr>
          <w:p w:rsidR="006D75C9" w:rsidRDefault="000B15B3">
            <w:pPr>
              <w:pStyle w:val="af3"/>
            </w:pPr>
            <w:r>
              <w:rPr>
                <w:rFonts w:hint="eastAsia"/>
              </w:rPr>
              <w:t>1</w:t>
            </w:r>
          </w:p>
        </w:tc>
        <w:tc>
          <w:tcPr>
            <w:tcW w:w="1055" w:type="dxa"/>
            <w:vAlign w:val="center"/>
          </w:tcPr>
          <w:p w:rsidR="006D75C9" w:rsidRDefault="000B15B3">
            <w:pPr>
              <w:pStyle w:val="af3"/>
            </w:pPr>
            <w:r>
              <w:rPr>
                <w:rFonts w:hint="eastAsia"/>
              </w:rPr>
              <w:t>梅州</w:t>
            </w:r>
          </w:p>
          <w:p w:rsidR="006D75C9" w:rsidRDefault="000B15B3">
            <w:pPr>
              <w:pStyle w:val="af3"/>
            </w:pPr>
            <w:r>
              <w:rPr>
                <w:rFonts w:hint="eastAsia"/>
              </w:rPr>
              <w:t>综合客运枢纽站</w:t>
            </w:r>
          </w:p>
        </w:tc>
        <w:tc>
          <w:tcPr>
            <w:tcW w:w="1996" w:type="dxa"/>
            <w:vAlign w:val="center"/>
          </w:tcPr>
          <w:p w:rsidR="006D75C9" w:rsidRDefault="000B15B3">
            <w:pPr>
              <w:pStyle w:val="af3"/>
            </w:pPr>
            <w:r>
              <w:rPr>
                <w:rFonts w:hint="eastAsia"/>
              </w:rPr>
              <w:t>位于梅州火车站站前广场西侧，客都大道以南，市邮政局以东。</w:t>
            </w:r>
          </w:p>
        </w:tc>
        <w:tc>
          <w:tcPr>
            <w:tcW w:w="787" w:type="dxa"/>
            <w:vAlign w:val="center"/>
          </w:tcPr>
          <w:p w:rsidR="006D75C9" w:rsidRDefault="000B15B3">
            <w:pPr>
              <w:pStyle w:val="af3"/>
            </w:pPr>
            <w:r>
              <w:rPr>
                <w:rFonts w:hint="eastAsia"/>
              </w:rPr>
              <w:t>新建</w:t>
            </w:r>
          </w:p>
        </w:tc>
        <w:tc>
          <w:tcPr>
            <w:tcW w:w="650" w:type="dxa"/>
            <w:vAlign w:val="center"/>
          </w:tcPr>
          <w:p w:rsidR="006D75C9" w:rsidRDefault="000B15B3">
            <w:pPr>
              <w:pStyle w:val="af3"/>
            </w:pPr>
            <w:r>
              <w:rPr>
                <w:rFonts w:hint="eastAsia"/>
              </w:rPr>
              <w:t>一级</w:t>
            </w:r>
          </w:p>
        </w:tc>
        <w:tc>
          <w:tcPr>
            <w:tcW w:w="1457" w:type="dxa"/>
            <w:vAlign w:val="center"/>
          </w:tcPr>
          <w:p w:rsidR="006D75C9" w:rsidRDefault="000B15B3">
            <w:pPr>
              <w:pStyle w:val="af3"/>
            </w:pPr>
            <w:r>
              <w:t>4.63</w:t>
            </w:r>
            <w:r>
              <w:rPr>
                <w:rFonts w:hint="eastAsia"/>
              </w:rPr>
              <w:t>万平方米</w:t>
            </w:r>
          </w:p>
          <w:p w:rsidR="006D75C9" w:rsidRDefault="000B15B3">
            <w:pPr>
              <w:pStyle w:val="af3"/>
            </w:pPr>
            <w:r>
              <w:rPr>
                <w:rFonts w:hint="eastAsia"/>
              </w:rPr>
              <w:t>（</w:t>
            </w:r>
            <w:r>
              <w:t>69.45</w:t>
            </w:r>
            <w:r>
              <w:rPr>
                <w:rFonts w:hint="eastAsia"/>
              </w:rPr>
              <w:t>亩）</w:t>
            </w:r>
          </w:p>
        </w:tc>
        <w:tc>
          <w:tcPr>
            <w:tcW w:w="1365" w:type="dxa"/>
            <w:vAlign w:val="center"/>
          </w:tcPr>
          <w:p w:rsidR="006D75C9" w:rsidRDefault="000B15B3">
            <w:pPr>
              <w:pStyle w:val="af3"/>
            </w:pPr>
            <w:r>
              <w:t>10000</w:t>
            </w:r>
          </w:p>
        </w:tc>
        <w:tc>
          <w:tcPr>
            <w:tcW w:w="6239" w:type="dxa"/>
            <w:vAlign w:val="center"/>
          </w:tcPr>
          <w:p w:rsidR="006D75C9" w:rsidRDefault="000B15B3">
            <w:pPr>
              <w:pStyle w:val="af3"/>
              <w:jc w:val="both"/>
            </w:pPr>
            <w:r>
              <w:rPr>
                <w:rFonts w:hint="eastAsia"/>
              </w:rPr>
              <w:t>综合枢纽站，衔接铁路、航空、公路、公交、出租、社会车辆等，（</w:t>
            </w:r>
            <w:r>
              <w:t>1</w:t>
            </w:r>
            <w:r>
              <w:rPr>
                <w:rFonts w:hint="eastAsia"/>
              </w:rPr>
              <w:t>）接驳火车站到发的旅客，利用公路站场发车时间间隔短的优势，实现公路与铁路之间旅客的换乘联运；（</w:t>
            </w:r>
            <w:r>
              <w:t>2</w:t>
            </w:r>
            <w:r>
              <w:rPr>
                <w:rFonts w:hint="eastAsia"/>
              </w:rPr>
              <w:t>）设置东部、南部方向的跨省、跨市客运班线，承担这两个方向的的中长途旅客运输；（</w:t>
            </w:r>
            <w:r>
              <w:t>3</w:t>
            </w:r>
            <w:r>
              <w:rPr>
                <w:rFonts w:hint="eastAsia"/>
              </w:rPr>
              <w:t>）设置旅游班线，服务于梅州旅游客流的组织；（</w:t>
            </w:r>
            <w:r>
              <w:t>4</w:t>
            </w:r>
            <w:r>
              <w:rPr>
                <w:rFonts w:hint="eastAsia"/>
              </w:rPr>
              <w:t>）承担江南组团与其他县市的市域内短途客运；（</w:t>
            </w:r>
            <w:r>
              <w:t>5</w:t>
            </w:r>
            <w:r>
              <w:rPr>
                <w:rFonts w:hint="eastAsia"/>
              </w:rPr>
              <w:t>）利用距离梅县机场仅</w:t>
            </w:r>
            <w:r>
              <w:t>2</w:t>
            </w:r>
            <w:r>
              <w:rPr>
                <w:rFonts w:hint="eastAsia"/>
              </w:rPr>
              <w:t>公里的优势，设置短距离摆渡车，旅客可通过摆渡车实现机场与公路客运站之间的接驳。</w:t>
            </w:r>
          </w:p>
        </w:tc>
      </w:tr>
      <w:tr w:rsidR="006D75C9">
        <w:trPr>
          <w:trHeight w:val="923"/>
          <w:jc w:val="center"/>
        </w:trPr>
        <w:tc>
          <w:tcPr>
            <w:tcW w:w="640" w:type="dxa"/>
            <w:vAlign w:val="center"/>
          </w:tcPr>
          <w:p w:rsidR="006D75C9" w:rsidRDefault="006D75C9">
            <w:pPr>
              <w:pStyle w:val="af3"/>
            </w:pPr>
          </w:p>
        </w:tc>
        <w:tc>
          <w:tcPr>
            <w:tcW w:w="1055" w:type="dxa"/>
            <w:vAlign w:val="center"/>
          </w:tcPr>
          <w:p w:rsidR="006D75C9" w:rsidRDefault="000B15B3">
            <w:pPr>
              <w:pStyle w:val="af3"/>
            </w:pPr>
            <w:r>
              <w:rPr>
                <w:rFonts w:hint="eastAsia"/>
              </w:rPr>
              <w:t>梅州西</w:t>
            </w:r>
          </w:p>
          <w:p w:rsidR="006D75C9" w:rsidRDefault="000B15B3">
            <w:pPr>
              <w:pStyle w:val="af3"/>
            </w:pPr>
            <w:r>
              <w:rPr>
                <w:rFonts w:hint="eastAsia"/>
              </w:rPr>
              <w:t>综合客运枢纽站</w:t>
            </w:r>
          </w:p>
        </w:tc>
        <w:tc>
          <w:tcPr>
            <w:tcW w:w="1996" w:type="dxa"/>
            <w:vAlign w:val="center"/>
          </w:tcPr>
          <w:p w:rsidR="006D75C9" w:rsidRDefault="000B15B3">
            <w:pPr>
              <w:pStyle w:val="af3"/>
            </w:pPr>
            <w:r>
              <w:rPr>
                <w:rFonts w:hint="eastAsia"/>
              </w:rPr>
              <w:t>梅州环城高速公路西段西侧，与高铁站场同侧。</w:t>
            </w:r>
          </w:p>
        </w:tc>
        <w:tc>
          <w:tcPr>
            <w:tcW w:w="787" w:type="dxa"/>
            <w:vAlign w:val="center"/>
          </w:tcPr>
          <w:p w:rsidR="006D75C9" w:rsidRDefault="000B15B3">
            <w:pPr>
              <w:pStyle w:val="af3"/>
            </w:pPr>
            <w:r>
              <w:rPr>
                <w:rFonts w:hint="eastAsia"/>
              </w:rPr>
              <w:t>新建</w:t>
            </w:r>
          </w:p>
        </w:tc>
        <w:tc>
          <w:tcPr>
            <w:tcW w:w="650" w:type="dxa"/>
            <w:vAlign w:val="center"/>
          </w:tcPr>
          <w:p w:rsidR="006D75C9" w:rsidRDefault="000B15B3">
            <w:pPr>
              <w:pStyle w:val="af3"/>
            </w:pPr>
            <w:r>
              <w:rPr>
                <w:rFonts w:hint="eastAsia"/>
              </w:rPr>
              <w:t>一级</w:t>
            </w:r>
          </w:p>
        </w:tc>
        <w:tc>
          <w:tcPr>
            <w:tcW w:w="1457" w:type="dxa"/>
            <w:vAlign w:val="center"/>
          </w:tcPr>
          <w:p w:rsidR="006D75C9" w:rsidRDefault="000B15B3">
            <w:pPr>
              <w:pStyle w:val="af3"/>
            </w:pPr>
            <w:r>
              <w:t>5</w:t>
            </w:r>
            <w:r>
              <w:rPr>
                <w:rFonts w:hint="eastAsia"/>
              </w:rPr>
              <w:t>万平方米</w:t>
            </w:r>
          </w:p>
          <w:p w:rsidR="006D75C9" w:rsidRDefault="000B15B3">
            <w:pPr>
              <w:pStyle w:val="af3"/>
            </w:pPr>
            <w:r>
              <w:rPr>
                <w:rFonts w:hint="eastAsia"/>
              </w:rPr>
              <w:t>（</w:t>
            </w:r>
            <w:r>
              <w:t>75</w:t>
            </w:r>
            <w:r>
              <w:rPr>
                <w:rFonts w:hint="eastAsia"/>
              </w:rPr>
              <w:t>亩）</w:t>
            </w:r>
          </w:p>
        </w:tc>
        <w:tc>
          <w:tcPr>
            <w:tcW w:w="1365" w:type="dxa"/>
            <w:vAlign w:val="center"/>
          </w:tcPr>
          <w:p w:rsidR="006D75C9" w:rsidRDefault="000B15B3">
            <w:pPr>
              <w:pStyle w:val="af3"/>
            </w:pPr>
            <w:r>
              <w:t>12000</w:t>
            </w:r>
          </w:p>
        </w:tc>
        <w:tc>
          <w:tcPr>
            <w:tcW w:w="6239" w:type="dxa"/>
            <w:vAlign w:val="center"/>
          </w:tcPr>
          <w:p w:rsidR="006D75C9" w:rsidRDefault="000B15B3">
            <w:pPr>
              <w:pStyle w:val="af3"/>
              <w:jc w:val="both"/>
            </w:pPr>
            <w:r>
              <w:rPr>
                <w:rFonts w:hint="eastAsia"/>
              </w:rPr>
              <w:t>承担梅州西高铁站旅客在梅州市域的集疏运，以及梅县区与其他县市的市域内短途客运</w:t>
            </w:r>
          </w:p>
        </w:tc>
      </w:tr>
      <w:tr w:rsidR="006D75C9">
        <w:trPr>
          <w:trHeight w:val="1207"/>
          <w:jc w:val="center"/>
        </w:trPr>
        <w:tc>
          <w:tcPr>
            <w:tcW w:w="640" w:type="dxa"/>
            <w:vAlign w:val="center"/>
          </w:tcPr>
          <w:p w:rsidR="006D75C9" w:rsidRDefault="000B15B3">
            <w:pPr>
              <w:pStyle w:val="af3"/>
            </w:pPr>
            <w:r>
              <w:rPr>
                <w:rFonts w:hint="eastAsia"/>
              </w:rPr>
              <w:t>2</w:t>
            </w:r>
          </w:p>
        </w:tc>
        <w:tc>
          <w:tcPr>
            <w:tcW w:w="1055" w:type="dxa"/>
            <w:vAlign w:val="center"/>
          </w:tcPr>
          <w:p w:rsidR="006D75C9" w:rsidRDefault="000B15B3">
            <w:pPr>
              <w:pStyle w:val="af3"/>
            </w:pPr>
            <w:r>
              <w:rPr>
                <w:rFonts w:hint="eastAsia"/>
              </w:rPr>
              <w:t>梅州江北</w:t>
            </w:r>
          </w:p>
          <w:p w:rsidR="006D75C9" w:rsidRDefault="000B15B3">
            <w:pPr>
              <w:pStyle w:val="af3"/>
            </w:pPr>
            <w:r>
              <w:rPr>
                <w:rFonts w:hint="eastAsia"/>
              </w:rPr>
              <w:t>客运站</w:t>
            </w:r>
          </w:p>
        </w:tc>
        <w:tc>
          <w:tcPr>
            <w:tcW w:w="1996" w:type="dxa"/>
            <w:vAlign w:val="center"/>
          </w:tcPr>
          <w:p w:rsidR="006D75C9" w:rsidRDefault="000B15B3">
            <w:pPr>
              <w:pStyle w:val="af3"/>
            </w:pPr>
            <w:r>
              <w:rPr>
                <w:rFonts w:hint="eastAsia"/>
              </w:rPr>
              <w:t>梅州大道与大浪口路交叉口西南角。</w:t>
            </w:r>
          </w:p>
        </w:tc>
        <w:tc>
          <w:tcPr>
            <w:tcW w:w="787" w:type="dxa"/>
            <w:vAlign w:val="center"/>
          </w:tcPr>
          <w:p w:rsidR="006D75C9" w:rsidRDefault="000B15B3">
            <w:pPr>
              <w:pStyle w:val="af3"/>
            </w:pPr>
            <w:r>
              <w:rPr>
                <w:rFonts w:hint="eastAsia"/>
              </w:rPr>
              <w:t>改建</w:t>
            </w:r>
          </w:p>
        </w:tc>
        <w:tc>
          <w:tcPr>
            <w:tcW w:w="650" w:type="dxa"/>
            <w:vAlign w:val="center"/>
          </w:tcPr>
          <w:p w:rsidR="006D75C9" w:rsidRDefault="000B15B3">
            <w:pPr>
              <w:pStyle w:val="af3"/>
            </w:pPr>
            <w:r>
              <w:rPr>
                <w:rFonts w:hint="eastAsia"/>
              </w:rPr>
              <w:t>一级</w:t>
            </w:r>
          </w:p>
        </w:tc>
        <w:tc>
          <w:tcPr>
            <w:tcW w:w="1457" w:type="dxa"/>
            <w:vAlign w:val="center"/>
          </w:tcPr>
          <w:p w:rsidR="006D75C9" w:rsidRDefault="000B15B3">
            <w:pPr>
              <w:pStyle w:val="af3"/>
            </w:pPr>
            <w:r>
              <w:t>3.6</w:t>
            </w:r>
            <w:r>
              <w:rPr>
                <w:rFonts w:hint="eastAsia"/>
              </w:rPr>
              <w:t>万平方米</w:t>
            </w:r>
          </w:p>
          <w:p w:rsidR="006D75C9" w:rsidRDefault="000B15B3">
            <w:pPr>
              <w:pStyle w:val="af3"/>
            </w:pPr>
            <w:r>
              <w:rPr>
                <w:rFonts w:hint="eastAsia"/>
              </w:rPr>
              <w:t>（</w:t>
            </w:r>
            <w:r>
              <w:t>54</w:t>
            </w:r>
            <w:r>
              <w:rPr>
                <w:rFonts w:hint="eastAsia"/>
              </w:rPr>
              <w:t>亩）</w:t>
            </w:r>
          </w:p>
        </w:tc>
        <w:tc>
          <w:tcPr>
            <w:tcW w:w="1365" w:type="dxa"/>
            <w:vAlign w:val="center"/>
          </w:tcPr>
          <w:p w:rsidR="006D75C9" w:rsidRDefault="000B15B3">
            <w:pPr>
              <w:pStyle w:val="af3"/>
            </w:pPr>
            <w:r>
              <w:t>10000</w:t>
            </w:r>
          </w:p>
        </w:tc>
        <w:tc>
          <w:tcPr>
            <w:tcW w:w="6239" w:type="dxa"/>
            <w:vAlign w:val="center"/>
          </w:tcPr>
          <w:p w:rsidR="006D75C9" w:rsidRDefault="000B15B3">
            <w:pPr>
              <w:pStyle w:val="af3"/>
              <w:jc w:val="both"/>
            </w:pPr>
            <w:r>
              <w:rPr>
                <w:rFonts w:hint="eastAsia"/>
              </w:rPr>
              <w:t>一是主要承担江北组团、城西组团与珠三角等西部地区的跨省、市的旅客运输，二是承担部分江北组团、城西组团与西北部、北部等方向的跨省、市的旅客运输，三是承担江北组团与其他县市的市域内短途客运。</w:t>
            </w:r>
          </w:p>
        </w:tc>
      </w:tr>
      <w:tr w:rsidR="006D75C9">
        <w:trPr>
          <w:trHeight w:val="1251"/>
          <w:jc w:val="center"/>
        </w:trPr>
        <w:tc>
          <w:tcPr>
            <w:tcW w:w="640" w:type="dxa"/>
            <w:vAlign w:val="center"/>
          </w:tcPr>
          <w:p w:rsidR="006D75C9" w:rsidRDefault="000B15B3">
            <w:pPr>
              <w:pStyle w:val="af3"/>
            </w:pPr>
            <w:r>
              <w:rPr>
                <w:rFonts w:hint="eastAsia"/>
              </w:rPr>
              <w:t>3</w:t>
            </w:r>
          </w:p>
        </w:tc>
        <w:tc>
          <w:tcPr>
            <w:tcW w:w="1055" w:type="dxa"/>
            <w:vAlign w:val="center"/>
          </w:tcPr>
          <w:p w:rsidR="006D75C9" w:rsidRDefault="000B15B3">
            <w:pPr>
              <w:pStyle w:val="af3"/>
            </w:pPr>
            <w:r>
              <w:rPr>
                <w:rFonts w:hint="eastAsia"/>
              </w:rPr>
              <w:t>梅州金盘</w:t>
            </w:r>
          </w:p>
          <w:p w:rsidR="006D75C9" w:rsidRDefault="000B15B3">
            <w:pPr>
              <w:pStyle w:val="af3"/>
            </w:pPr>
            <w:r>
              <w:rPr>
                <w:rFonts w:hint="eastAsia"/>
              </w:rPr>
              <w:t>客运站</w:t>
            </w:r>
          </w:p>
        </w:tc>
        <w:tc>
          <w:tcPr>
            <w:tcW w:w="1996" w:type="dxa"/>
            <w:vAlign w:val="center"/>
          </w:tcPr>
          <w:p w:rsidR="006D75C9" w:rsidRDefault="000B15B3">
            <w:pPr>
              <w:pStyle w:val="af3"/>
            </w:pPr>
            <w:r>
              <w:rPr>
                <w:rFonts w:hint="eastAsia"/>
              </w:rPr>
              <w:t>梅江区八环水泥厂北侧，国道</w:t>
            </w:r>
            <w:r>
              <w:t>G205</w:t>
            </w:r>
            <w:r>
              <w:rPr>
                <w:rFonts w:hint="eastAsia"/>
              </w:rPr>
              <w:t>以西</w:t>
            </w:r>
          </w:p>
        </w:tc>
        <w:tc>
          <w:tcPr>
            <w:tcW w:w="787" w:type="dxa"/>
            <w:vAlign w:val="center"/>
          </w:tcPr>
          <w:p w:rsidR="006D75C9" w:rsidRDefault="000B15B3">
            <w:pPr>
              <w:pStyle w:val="af3"/>
            </w:pPr>
            <w:r>
              <w:rPr>
                <w:rFonts w:hint="eastAsia"/>
              </w:rPr>
              <w:t>新建</w:t>
            </w:r>
          </w:p>
        </w:tc>
        <w:tc>
          <w:tcPr>
            <w:tcW w:w="650" w:type="dxa"/>
            <w:vAlign w:val="center"/>
          </w:tcPr>
          <w:p w:rsidR="006D75C9" w:rsidRDefault="000B15B3">
            <w:pPr>
              <w:pStyle w:val="af3"/>
            </w:pPr>
            <w:r>
              <w:rPr>
                <w:rFonts w:hint="eastAsia"/>
              </w:rPr>
              <w:t>一级</w:t>
            </w:r>
          </w:p>
        </w:tc>
        <w:tc>
          <w:tcPr>
            <w:tcW w:w="1457" w:type="dxa"/>
            <w:vAlign w:val="center"/>
          </w:tcPr>
          <w:p w:rsidR="006D75C9" w:rsidRDefault="000B15B3">
            <w:pPr>
              <w:pStyle w:val="af3"/>
            </w:pPr>
            <w:r>
              <w:t>4.1</w:t>
            </w:r>
            <w:r>
              <w:rPr>
                <w:rFonts w:hint="eastAsia"/>
              </w:rPr>
              <w:t>万平方米</w:t>
            </w:r>
          </w:p>
          <w:p w:rsidR="006D75C9" w:rsidRDefault="000B15B3">
            <w:pPr>
              <w:pStyle w:val="af3"/>
            </w:pPr>
            <w:r>
              <w:rPr>
                <w:rFonts w:hint="eastAsia"/>
              </w:rPr>
              <w:t>（</w:t>
            </w:r>
            <w:r>
              <w:t>61.5</w:t>
            </w:r>
            <w:r>
              <w:rPr>
                <w:rFonts w:hint="eastAsia"/>
              </w:rPr>
              <w:t>亩）</w:t>
            </w:r>
          </w:p>
        </w:tc>
        <w:tc>
          <w:tcPr>
            <w:tcW w:w="1365" w:type="dxa"/>
            <w:vAlign w:val="center"/>
          </w:tcPr>
          <w:p w:rsidR="006D75C9" w:rsidRDefault="000B15B3">
            <w:pPr>
              <w:pStyle w:val="af3"/>
            </w:pPr>
            <w:r>
              <w:t>10000</w:t>
            </w:r>
          </w:p>
        </w:tc>
        <w:tc>
          <w:tcPr>
            <w:tcW w:w="6239" w:type="dxa"/>
            <w:vAlign w:val="center"/>
          </w:tcPr>
          <w:p w:rsidR="006D75C9" w:rsidRDefault="000B15B3">
            <w:pPr>
              <w:pStyle w:val="af3"/>
              <w:jc w:val="both"/>
            </w:pPr>
            <w:r>
              <w:rPr>
                <w:rFonts w:hint="eastAsia"/>
              </w:rPr>
              <w:t>一是主要承担江北、城西组团的北部、北部和西部等三个方向的跨省、市的旅客运输，二是承担部分江北组团、城西组团与其他县市的市域内短途客运。“十三五”期梅州江北客运站能力基本饱和后启动建设，以分担梅州江北客运站客流为主。</w:t>
            </w:r>
          </w:p>
        </w:tc>
      </w:tr>
      <w:tr w:rsidR="006D75C9">
        <w:trPr>
          <w:trHeight w:val="1015"/>
          <w:jc w:val="center"/>
        </w:trPr>
        <w:tc>
          <w:tcPr>
            <w:tcW w:w="640" w:type="dxa"/>
            <w:vAlign w:val="center"/>
          </w:tcPr>
          <w:p w:rsidR="006D75C9" w:rsidRDefault="000B15B3">
            <w:pPr>
              <w:pStyle w:val="af3"/>
            </w:pPr>
            <w:r>
              <w:rPr>
                <w:rFonts w:hint="eastAsia"/>
              </w:rPr>
              <w:t>5</w:t>
            </w:r>
          </w:p>
        </w:tc>
        <w:tc>
          <w:tcPr>
            <w:tcW w:w="1055" w:type="dxa"/>
            <w:vAlign w:val="center"/>
          </w:tcPr>
          <w:p w:rsidR="006D75C9" w:rsidRDefault="000B15B3">
            <w:pPr>
              <w:pStyle w:val="af3"/>
            </w:pPr>
            <w:r>
              <w:rPr>
                <w:rFonts w:hint="eastAsia"/>
              </w:rPr>
              <w:t>梅州畲江</w:t>
            </w:r>
          </w:p>
          <w:p w:rsidR="006D75C9" w:rsidRDefault="000B15B3">
            <w:pPr>
              <w:pStyle w:val="af3"/>
            </w:pPr>
            <w:r>
              <w:rPr>
                <w:rFonts w:hint="eastAsia"/>
              </w:rPr>
              <w:t>客运站</w:t>
            </w:r>
          </w:p>
        </w:tc>
        <w:tc>
          <w:tcPr>
            <w:tcW w:w="1996" w:type="dxa"/>
            <w:vAlign w:val="center"/>
          </w:tcPr>
          <w:p w:rsidR="006D75C9" w:rsidRDefault="000B15B3">
            <w:pPr>
              <w:pStyle w:val="af3"/>
            </w:pPr>
            <w:r>
              <w:rPr>
                <w:rFonts w:hint="eastAsia"/>
              </w:rPr>
              <w:t>梅江和</w:t>
            </w:r>
            <w:r>
              <w:t>G206</w:t>
            </w:r>
            <w:r>
              <w:rPr>
                <w:rFonts w:hint="eastAsia"/>
              </w:rPr>
              <w:t>以南，畲江工业园首期开发用地西部。</w:t>
            </w:r>
          </w:p>
        </w:tc>
        <w:tc>
          <w:tcPr>
            <w:tcW w:w="787" w:type="dxa"/>
            <w:vAlign w:val="center"/>
          </w:tcPr>
          <w:p w:rsidR="006D75C9" w:rsidRDefault="000B15B3">
            <w:pPr>
              <w:pStyle w:val="af3"/>
            </w:pPr>
            <w:r>
              <w:rPr>
                <w:rFonts w:hint="eastAsia"/>
              </w:rPr>
              <w:t>新建</w:t>
            </w:r>
          </w:p>
        </w:tc>
        <w:tc>
          <w:tcPr>
            <w:tcW w:w="650" w:type="dxa"/>
            <w:vAlign w:val="center"/>
          </w:tcPr>
          <w:p w:rsidR="006D75C9" w:rsidRDefault="000B15B3">
            <w:pPr>
              <w:pStyle w:val="af3"/>
            </w:pPr>
            <w:r>
              <w:rPr>
                <w:rFonts w:hint="eastAsia"/>
              </w:rPr>
              <w:t>一级</w:t>
            </w:r>
          </w:p>
        </w:tc>
        <w:tc>
          <w:tcPr>
            <w:tcW w:w="1457" w:type="dxa"/>
            <w:vAlign w:val="center"/>
          </w:tcPr>
          <w:p w:rsidR="006D75C9" w:rsidRDefault="000B15B3">
            <w:pPr>
              <w:pStyle w:val="af3"/>
            </w:pPr>
            <w:r>
              <w:t>3.6</w:t>
            </w:r>
            <w:r>
              <w:rPr>
                <w:rFonts w:hint="eastAsia"/>
              </w:rPr>
              <w:t>万平方米</w:t>
            </w:r>
          </w:p>
          <w:p w:rsidR="006D75C9" w:rsidRDefault="000B15B3">
            <w:pPr>
              <w:pStyle w:val="af3"/>
            </w:pPr>
            <w:r>
              <w:rPr>
                <w:rFonts w:hint="eastAsia"/>
              </w:rPr>
              <w:t>（</w:t>
            </w:r>
            <w:r>
              <w:t>54</w:t>
            </w:r>
            <w:r>
              <w:rPr>
                <w:rFonts w:hint="eastAsia"/>
              </w:rPr>
              <w:t>亩）</w:t>
            </w:r>
          </w:p>
        </w:tc>
        <w:tc>
          <w:tcPr>
            <w:tcW w:w="1365" w:type="dxa"/>
            <w:vAlign w:val="center"/>
          </w:tcPr>
          <w:p w:rsidR="006D75C9" w:rsidRDefault="000B15B3">
            <w:pPr>
              <w:pStyle w:val="af3"/>
            </w:pPr>
            <w:r>
              <w:t>8000</w:t>
            </w:r>
          </w:p>
        </w:tc>
        <w:tc>
          <w:tcPr>
            <w:tcW w:w="6239" w:type="dxa"/>
            <w:vAlign w:val="center"/>
          </w:tcPr>
          <w:p w:rsidR="006D75C9" w:rsidRDefault="000B15B3">
            <w:pPr>
              <w:pStyle w:val="af3"/>
              <w:jc w:val="both"/>
            </w:pPr>
            <w:r>
              <w:rPr>
                <w:rFonts w:hint="eastAsia"/>
              </w:rPr>
              <w:t>服务于畲江组团的商务出行及通勤出行，承担各主要客流方向的省际、市际及市内的旅客发送任务；同时也可承担部分汕揭潮地区与河源、珠三角等地的中转客流。</w:t>
            </w:r>
          </w:p>
        </w:tc>
      </w:tr>
      <w:tr w:rsidR="006D75C9">
        <w:trPr>
          <w:trHeight w:val="560"/>
          <w:jc w:val="center"/>
        </w:trPr>
        <w:tc>
          <w:tcPr>
            <w:tcW w:w="640" w:type="dxa"/>
            <w:vAlign w:val="center"/>
          </w:tcPr>
          <w:p w:rsidR="006D75C9" w:rsidRDefault="006D75C9">
            <w:pPr>
              <w:pStyle w:val="af3"/>
            </w:pPr>
          </w:p>
        </w:tc>
        <w:tc>
          <w:tcPr>
            <w:tcW w:w="1055" w:type="dxa"/>
            <w:vAlign w:val="center"/>
          </w:tcPr>
          <w:p w:rsidR="006D75C9" w:rsidRDefault="006D75C9">
            <w:pPr>
              <w:pStyle w:val="af3"/>
            </w:pPr>
          </w:p>
        </w:tc>
        <w:tc>
          <w:tcPr>
            <w:tcW w:w="1996" w:type="dxa"/>
            <w:vAlign w:val="center"/>
          </w:tcPr>
          <w:p w:rsidR="006D75C9" w:rsidRDefault="006D75C9">
            <w:pPr>
              <w:pStyle w:val="af3"/>
              <w:jc w:val="both"/>
            </w:pPr>
          </w:p>
        </w:tc>
        <w:tc>
          <w:tcPr>
            <w:tcW w:w="787" w:type="dxa"/>
            <w:vAlign w:val="center"/>
          </w:tcPr>
          <w:p w:rsidR="006D75C9" w:rsidRDefault="006D75C9">
            <w:pPr>
              <w:adjustRightInd w:val="0"/>
              <w:snapToGrid w:val="0"/>
              <w:jc w:val="center"/>
              <w:rPr>
                <w:kern w:val="0"/>
                <w:szCs w:val="21"/>
              </w:rPr>
            </w:pPr>
          </w:p>
        </w:tc>
        <w:tc>
          <w:tcPr>
            <w:tcW w:w="650" w:type="dxa"/>
            <w:vAlign w:val="center"/>
          </w:tcPr>
          <w:p w:rsidR="006D75C9" w:rsidRDefault="006D75C9">
            <w:pPr>
              <w:pStyle w:val="af3"/>
            </w:pPr>
          </w:p>
        </w:tc>
        <w:tc>
          <w:tcPr>
            <w:tcW w:w="1457" w:type="dxa"/>
            <w:vAlign w:val="center"/>
          </w:tcPr>
          <w:p w:rsidR="006D75C9" w:rsidRDefault="000B15B3">
            <w:pPr>
              <w:pStyle w:val="af3"/>
            </w:pPr>
            <w:r>
              <w:t>20.93</w:t>
            </w:r>
            <w:r>
              <w:rPr>
                <w:rFonts w:hint="eastAsia"/>
              </w:rPr>
              <w:t>万平方米</w:t>
            </w:r>
          </w:p>
          <w:p w:rsidR="006D75C9" w:rsidRDefault="000B15B3">
            <w:pPr>
              <w:pStyle w:val="af3"/>
            </w:pPr>
            <w:r>
              <w:rPr>
                <w:rFonts w:hint="eastAsia"/>
              </w:rPr>
              <w:t>（</w:t>
            </w:r>
            <w:r>
              <w:t>313.95</w:t>
            </w:r>
            <w:r>
              <w:rPr>
                <w:rFonts w:hint="eastAsia"/>
              </w:rPr>
              <w:t>亩）</w:t>
            </w:r>
          </w:p>
        </w:tc>
        <w:tc>
          <w:tcPr>
            <w:tcW w:w="1365" w:type="dxa"/>
            <w:vAlign w:val="center"/>
          </w:tcPr>
          <w:p w:rsidR="006D75C9" w:rsidRDefault="000B15B3">
            <w:pPr>
              <w:pStyle w:val="af3"/>
            </w:pPr>
            <w:r>
              <w:t>50000</w:t>
            </w:r>
          </w:p>
        </w:tc>
        <w:tc>
          <w:tcPr>
            <w:tcW w:w="6239" w:type="dxa"/>
            <w:vAlign w:val="center"/>
          </w:tcPr>
          <w:p w:rsidR="006D75C9" w:rsidRDefault="006D75C9">
            <w:pPr>
              <w:pStyle w:val="af3"/>
              <w:jc w:val="both"/>
            </w:pPr>
          </w:p>
        </w:tc>
      </w:tr>
    </w:tbl>
    <w:p w:rsidR="006D75C9" w:rsidRDefault="006D75C9">
      <w:pPr>
        <w:pStyle w:val="af4"/>
        <w:ind w:firstLine="400"/>
      </w:pPr>
    </w:p>
    <w:p w:rsidR="006D75C9" w:rsidRDefault="006D75C9">
      <w:pPr>
        <w:pStyle w:val="3"/>
        <w:sectPr w:rsidR="006D75C9">
          <w:pgSz w:w="16838" w:h="11906" w:orient="landscape"/>
          <w:pgMar w:top="1474" w:right="1247" w:bottom="1361" w:left="1418" w:header="851" w:footer="851" w:gutter="0"/>
          <w:cols w:space="425"/>
          <w:docGrid w:linePitch="312" w:charSpace="640"/>
        </w:sectPr>
      </w:pPr>
    </w:p>
    <w:p w:rsidR="006D75C9" w:rsidRDefault="000B15B3">
      <w:pPr>
        <w:pStyle w:val="2"/>
        <w:numPr>
          <w:ilvl w:val="1"/>
          <w:numId w:val="0"/>
        </w:numPr>
        <w:spacing w:beforeLines="200" w:before="624" w:afterLines="150" w:after="468"/>
        <w:jc w:val="center"/>
      </w:pPr>
      <w:bookmarkStart w:id="21" w:name="_Toc430166401"/>
      <w:r>
        <w:rPr>
          <w:rFonts w:hint="eastAsia"/>
        </w:rPr>
        <w:lastRenderedPageBreak/>
        <w:t>第三节</w:t>
      </w:r>
      <w:r>
        <w:rPr>
          <w:rFonts w:hint="eastAsia"/>
        </w:rPr>
        <w:t xml:space="preserve">  </w:t>
      </w:r>
      <w:r>
        <w:rPr>
          <w:rFonts w:hint="eastAsia"/>
        </w:rPr>
        <w:t>货运枢纽站场布局方案</w:t>
      </w:r>
      <w:bookmarkEnd w:id="21"/>
    </w:p>
    <w:p w:rsidR="006D75C9" w:rsidRDefault="000B15B3">
      <w:pPr>
        <w:pStyle w:val="11"/>
        <w:spacing w:after="156"/>
      </w:pPr>
      <w:r>
        <w:rPr>
          <w:rFonts w:hint="eastAsia"/>
        </w:rPr>
        <w:t>梅州国家公路运输枢纽货运站场的推荐布局方案为</w:t>
      </w:r>
      <w:r>
        <w:rPr>
          <w:rFonts w:hint="eastAsia"/>
          <w:b/>
        </w:rPr>
        <w:t>3</w:t>
      </w:r>
      <w:r>
        <w:rPr>
          <w:rFonts w:hint="eastAsia"/>
          <w:b/>
        </w:rPr>
        <w:t>个物流中心</w:t>
      </w:r>
      <w:r>
        <w:rPr>
          <w:rFonts w:hint="eastAsia"/>
        </w:rPr>
        <w:t>。</w:t>
      </w:r>
    </w:p>
    <w:p w:rsidR="006D75C9" w:rsidRDefault="000B15B3">
      <w:pPr>
        <w:pStyle w:val="11"/>
        <w:spacing w:after="156"/>
        <w:ind w:firstLine="602"/>
        <w:rPr>
          <w:b/>
        </w:rPr>
      </w:pPr>
      <w:r>
        <w:rPr>
          <w:rFonts w:hint="eastAsia"/>
          <w:b/>
        </w:rPr>
        <w:t>（</w:t>
      </w:r>
      <w:r>
        <w:rPr>
          <w:rFonts w:hint="eastAsia"/>
          <w:b/>
        </w:rPr>
        <w:t>1</w:t>
      </w:r>
      <w:r>
        <w:rPr>
          <w:rFonts w:hint="eastAsia"/>
          <w:b/>
        </w:rPr>
        <w:t>）梅州畲江物流中心</w:t>
      </w:r>
    </w:p>
    <w:p w:rsidR="006D75C9" w:rsidRDefault="000B15B3">
      <w:pPr>
        <w:pStyle w:val="11"/>
        <w:spacing w:after="156"/>
        <w:ind w:firstLine="602"/>
      </w:pPr>
      <w:r>
        <w:rPr>
          <w:rFonts w:hint="eastAsia"/>
          <w:b/>
        </w:rPr>
        <w:t>地理位置：</w:t>
      </w:r>
      <w:r>
        <w:rPr>
          <w:rFonts w:hint="eastAsia"/>
        </w:rPr>
        <w:t>临近综合保税区和松棚火车站。。</w:t>
      </w:r>
    </w:p>
    <w:p w:rsidR="006D75C9" w:rsidRDefault="000B15B3">
      <w:pPr>
        <w:pStyle w:val="11"/>
        <w:spacing w:after="156"/>
        <w:ind w:firstLine="602"/>
        <w:rPr>
          <w:b/>
        </w:rPr>
      </w:pPr>
      <w:r>
        <w:rPr>
          <w:rFonts w:hint="eastAsia"/>
          <w:b/>
        </w:rPr>
        <w:t>建设性质</w:t>
      </w:r>
      <w:r>
        <w:rPr>
          <w:rFonts w:hint="eastAsia"/>
        </w:rPr>
        <w:t>：新建。</w:t>
      </w:r>
    </w:p>
    <w:p w:rsidR="006D75C9" w:rsidRDefault="000B15B3">
      <w:pPr>
        <w:pStyle w:val="11"/>
        <w:spacing w:after="156"/>
        <w:ind w:firstLine="602"/>
      </w:pPr>
      <w:r>
        <w:rPr>
          <w:rFonts w:hint="eastAsia"/>
          <w:b/>
        </w:rPr>
        <w:t>交通条件：</w:t>
      </w:r>
      <w:r>
        <w:rPr>
          <w:rFonts w:hint="eastAsia"/>
        </w:rPr>
        <w:t>通过</w:t>
      </w:r>
      <w:r>
        <w:rPr>
          <w:rFonts w:hint="eastAsia"/>
        </w:rPr>
        <w:t>G206</w:t>
      </w:r>
      <w:r>
        <w:rPr>
          <w:rFonts w:hint="eastAsia"/>
        </w:rPr>
        <w:t>、汕昆高速公路兴宁至畲江段和汕梅高速公路快速集散，便于交通组织。</w:t>
      </w:r>
    </w:p>
    <w:p w:rsidR="006D75C9" w:rsidRDefault="000B15B3">
      <w:pPr>
        <w:pStyle w:val="11"/>
        <w:spacing w:after="156"/>
        <w:ind w:firstLine="602"/>
      </w:pPr>
      <w:r>
        <w:rPr>
          <w:rFonts w:hint="eastAsia"/>
          <w:b/>
        </w:rPr>
        <w:t>功能定位：</w:t>
      </w:r>
      <w:r>
        <w:rPr>
          <w:rFonts w:hint="eastAsia"/>
        </w:rPr>
        <w:t>该物流中心是梅州高新技术产业开发区的重要组成部分，功能有主要有两方面：第一，服务于园区内的工业企业，为其提供专业化、现代化的物流基础设施平台；第二，依托便利区位和交通条件，面向粤东北地区，形成以公铁联运为支撑的物流集散中心。在发展初期提供货运信息交易平台，到中远期发展为集公路货运、集货配载、停车服务、仓储管理于一体的社会公用型货运站场。</w:t>
      </w:r>
    </w:p>
    <w:p w:rsidR="006D75C9" w:rsidRDefault="000B15B3">
      <w:pPr>
        <w:pStyle w:val="11"/>
        <w:spacing w:after="156"/>
        <w:ind w:firstLine="602"/>
        <w:rPr>
          <w:b/>
        </w:rPr>
      </w:pPr>
      <w:r>
        <w:rPr>
          <w:rFonts w:hint="eastAsia"/>
          <w:b/>
        </w:rPr>
        <w:t>作业能力：</w:t>
      </w:r>
      <w:r>
        <w:rPr>
          <w:rFonts w:hint="eastAsia"/>
        </w:rPr>
        <w:t>规划吞吐能力</w:t>
      </w:r>
      <w:r>
        <w:rPr>
          <w:rFonts w:hint="eastAsia"/>
        </w:rPr>
        <w:t>27</w:t>
      </w:r>
      <w:r>
        <w:t>0</w:t>
      </w:r>
      <w:r>
        <w:rPr>
          <w:rFonts w:hint="eastAsia"/>
        </w:rPr>
        <w:t>万吨。</w:t>
      </w:r>
    </w:p>
    <w:p w:rsidR="006D75C9" w:rsidRDefault="000B15B3">
      <w:pPr>
        <w:pStyle w:val="11"/>
        <w:spacing w:after="156"/>
        <w:ind w:firstLine="602"/>
      </w:pPr>
      <w:r>
        <w:rPr>
          <w:rFonts w:hint="eastAsia"/>
          <w:b/>
        </w:rPr>
        <w:t>占地规模：</w:t>
      </w:r>
      <w:r>
        <w:rPr>
          <w:rFonts w:hint="eastAsia"/>
        </w:rPr>
        <w:t>规划占地面积</w:t>
      </w:r>
      <w:r>
        <w:rPr>
          <w:rFonts w:hint="eastAsia"/>
        </w:rPr>
        <w:t>20</w:t>
      </w:r>
      <w:r>
        <w:rPr>
          <w:rFonts w:hint="eastAsia"/>
        </w:rPr>
        <w:t>万平方米（</w:t>
      </w:r>
      <w:r>
        <w:rPr>
          <w:rFonts w:hint="eastAsia"/>
        </w:rPr>
        <w:t>300</w:t>
      </w:r>
      <w:r>
        <w:rPr>
          <w:rFonts w:hint="eastAsia"/>
        </w:rPr>
        <w:t>亩）。</w:t>
      </w:r>
    </w:p>
    <w:p w:rsidR="006D75C9" w:rsidRDefault="000B15B3">
      <w:pPr>
        <w:pStyle w:val="11"/>
        <w:keepNext/>
        <w:spacing w:beforeLines="50" w:before="156" w:after="156"/>
        <w:ind w:firstLine="602"/>
        <w:rPr>
          <w:b/>
        </w:rPr>
      </w:pPr>
      <w:r>
        <w:rPr>
          <w:rFonts w:hint="eastAsia"/>
          <w:b/>
        </w:rPr>
        <w:lastRenderedPageBreak/>
        <w:t>（</w:t>
      </w:r>
      <w:r>
        <w:rPr>
          <w:rFonts w:hint="eastAsia"/>
          <w:b/>
        </w:rPr>
        <w:t>2</w:t>
      </w:r>
      <w:r>
        <w:rPr>
          <w:rFonts w:hint="eastAsia"/>
          <w:b/>
        </w:rPr>
        <w:t>）梅州北物流中心</w:t>
      </w:r>
    </w:p>
    <w:p w:rsidR="006D75C9" w:rsidRDefault="000B15B3">
      <w:pPr>
        <w:pStyle w:val="11"/>
        <w:spacing w:after="156"/>
        <w:ind w:firstLine="602"/>
      </w:pPr>
      <w:r>
        <w:rPr>
          <w:rFonts w:hint="eastAsia"/>
          <w:b/>
        </w:rPr>
        <w:t>地理位置</w:t>
      </w:r>
      <w:r>
        <w:rPr>
          <w:rFonts w:hint="eastAsia"/>
        </w:rPr>
        <w:t>：梅州环城北路（</w:t>
      </w:r>
      <w:r>
        <w:rPr>
          <w:rFonts w:hint="eastAsia"/>
        </w:rPr>
        <w:t>G205</w:t>
      </w:r>
      <w:r>
        <w:rPr>
          <w:rFonts w:hint="eastAsia"/>
        </w:rPr>
        <w:t>）与</w:t>
      </w:r>
      <w:r>
        <w:rPr>
          <w:rFonts w:hint="eastAsia"/>
        </w:rPr>
        <w:t>G206</w:t>
      </w:r>
      <w:r>
        <w:rPr>
          <w:rFonts w:hint="eastAsia"/>
        </w:rPr>
        <w:t>交界处以北区域。</w:t>
      </w:r>
    </w:p>
    <w:p w:rsidR="006D75C9" w:rsidRDefault="000B15B3">
      <w:pPr>
        <w:pStyle w:val="11"/>
        <w:spacing w:after="156"/>
        <w:ind w:firstLine="602"/>
      </w:pPr>
      <w:r>
        <w:rPr>
          <w:rFonts w:hint="eastAsia"/>
          <w:b/>
        </w:rPr>
        <w:t>建设性质</w:t>
      </w:r>
      <w:r>
        <w:rPr>
          <w:rFonts w:hint="eastAsia"/>
        </w:rPr>
        <w:t>：新建。</w:t>
      </w:r>
    </w:p>
    <w:p w:rsidR="006D75C9" w:rsidRDefault="000B15B3">
      <w:pPr>
        <w:pStyle w:val="11"/>
        <w:spacing w:after="156"/>
        <w:ind w:firstLine="602"/>
      </w:pPr>
      <w:r>
        <w:rPr>
          <w:rFonts w:hint="eastAsia"/>
          <w:b/>
        </w:rPr>
        <w:t>交通条件</w:t>
      </w:r>
      <w:r>
        <w:rPr>
          <w:rFonts w:hint="eastAsia"/>
        </w:rPr>
        <w:t>：紧邻国道</w:t>
      </w:r>
      <w:r>
        <w:rPr>
          <w:rFonts w:hint="eastAsia"/>
        </w:rPr>
        <w:t>G205</w:t>
      </w:r>
      <w:r>
        <w:rPr>
          <w:rFonts w:hint="eastAsia"/>
        </w:rPr>
        <w:t>，</w:t>
      </w:r>
      <w:r>
        <w:rPr>
          <w:rFonts w:hint="eastAsia"/>
        </w:rPr>
        <w:t>G206</w:t>
      </w:r>
      <w:r>
        <w:rPr>
          <w:rFonts w:hint="eastAsia"/>
        </w:rPr>
        <w:t>，距离城北互通立交约</w:t>
      </w:r>
      <w:r>
        <w:rPr>
          <w:rFonts w:hint="eastAsia"/>
        </w:rPr>
        <w:t>1.5</w:t>
      </w:r>
      <w:r>
        <w:rPr>
          <w:rFonts w:hint="eastAsia"/>
        </w:rPr>
        <w:t>公里，车辆可通过</w:t>
      </w:r>
      <w:r>
        <w:rPr>
          <w:rFonts w:hint="eastAsia"/>
        </w:rPr>
        <w:t>G206</w:t>
      </w:r>
      <w:r>
        <w:rPr>
          <w:rFonts w:hint="eastAsia"/>
        </w:rPr>
        <w:t>、</w:t>
      </w:r>
      <w:r>
        <w:rPr>
          <w:rFonts w:hint="eastAsia"/>
        </w:rPr>
        <w:t>G205</w:t>
      </w:r>
      <w:r>
        <w:rPr>
          <w:rFonts w:hint="eastAsia"/>
        </w:rPr>
        <w:t>与市内、周边城市快速联通，也可直接进入长深国家高速公路，实现货物快速集散。</w:t>
      </w:r>
    </w:p>
    <w:p w:rsidR="006D75C9" w:rsidRDefault="000B15B3">
      <w:pPr>
        <w:pStyle w:val="11"/>
        <w:spacing w:after="156"/>
        <w:ind w:firstLine="602"/>
      </w:pPr>
      <w:r>
        <w:rPr>
          <w:rFonts w:hint="eastAsia"/>
          <w:b/>
        </w:rPr>
        <w:t>功能定位</w:t>
      </w:r>
      <w:r>
        <w:rPr>
          <w:rFonts w:hint="eastAsia"/>
        </w:rPr>
        <w:t>：该物流中心是梅州城区北部地区重要的综合货运中心，功能有主要有两方面：第一，实现城区与内陆地区的货物流转；为城市提供现代化的物流配送服务；第二，面向内陆广大的市场，实现公路、铁路货运中转及联运，为广东南部沿海与中国东部沿海地区提供便利的货运中转站。</w:t>
      </w:r>
    </w:p>
    <w:p w:rsidR="006D75C9" w:rsidRDefault="000B15B3">
      <w:pPr>
        <w:pStyle w:val="11"/>
        <w:spacing w:after="156"/>
        <w:ind w:firstLine="602"/>
      </w:pPr>
      <w:r>
        <w:rPr>
          <w:rFonts w:hint="eastAsia"/>
          <w:b/>
        </w:rPr>
        <w:t>作业能力</w:t>
      </w:r>
      <w:r>
        <w:rPr>
          <w:rFonts w:hint="eastAsia"/>
        </w:rPr>
        <w:t>：规划吞吐能力</w:t>
      </w:r>
      <w:r>
        <w:rPr>
          <w:rFonts w:hint="eastAsia"/>
        </w:rPr>
        <w:t>120</w:t>
      </w:r>
      <w:r>
        <w:rPr>
          <w:rFonts w:hint="eastAsia"/>
        </w:rPr>
        <w:t>万吨。</w:t>
      </w:r>
    </w:p>
    <w:p w:rsidR="006D75C9" w:rsidRDefault="000B15B3">
      <w:pPr>
        <w:pStyle w:val="11"/>
        <w:spacing w:after="156"/>
        <w:ind w:firstLine="602"/>
      </w:pPr>
      <w:r>
        <w:rPr>
          <w:rFonts w:hint="eastAsia"/>
          <w:b/>
        </w:rPr>
        <w:t>占地规模</w:t>
      </w:r>
      <w:r>
        <w:rPr>
          <w:rFonts w:hint="eastAsia"/>
        </w:rPr>
        <w:t>：规划占地面积</w:t>
      </w:r>
      <w:r>
        <w:rPr>
          <w:rFonts w:hint="eastAsia"/>
        </w:rPr>
        <w:t>10</w:t>
      </w:r>
      <w:r>
        <w:rPr>
          <w:rFonts w:hint="eastAsia"/>
        </w:rPr>
        <w:t>万平方米（</w:t>
      </w:r>
      <w:r>
        <w:rPr>
          <w:rFonts w:hint="eastAsia"/>
        </w:rPr>
        <w:t>150</w:t>
      </w:r>
      <w:r>
        <w:rPr>
          <w:rFonts w:hint="eastAsia"/>
        </w:rPr>
        <w:t>亩）。</w:t>
      </w:r>
    </w:p>
    <w:p w:rsidR="006D75C9" w:rsidRDefault="000B15B3">
      <w:pPr>
        <w:pStyle w:val="11"/>
        <w:spacing w:after="156"/>
        <w:ind w:firstLine="602"/>
        <w:rPr>
          <w:b/>
        </w:rPr>
      </w:pPr>
      <w:r>
        <w:rPr>
          <w:rFonts w:hint="eastAsia"/>
          <w:b/>
        </w:rPr>
        <w:t>（</w:t>
      </w:r>
      <w:r>
        <w:rPr>
          <w:rFonts w:hint="eastAsia"/>
          <w:b/>
        </w:rPr>
        <w:t>3</w:t>
      </w:r>
      <w:r>
        <w:rPr>
          <w:rFonts w:hint="eastAsia"/>
          <w:b/>
        </w:rPr>
        <w:t>）梅州西物流中心</w:t>
      </w:r>
    </w:p>
    <w:p w:rsidR="006D75C9" w:rsidRDefault="000B15B3">
      <w:pPr>
        <w:pStyle w:val="11"/>
        <w:spacing w:after="156"/>
        <w:ind w:firstLine="602"/>
      </w:pPr>
      <w:r>
        <w:rPr>
          <w:rFonts w:hint="eastAsia"/>
          <w:b/>
        </w:rPr>
        <w:t>地理位置：</w:t>
      </w:r>
      <w:r>
        <w:rPr>
          <w:rFonts w:hint="eastAsia"/>
        </w:rPr>
        <w:t>梅州环城高速公路西段西侧，</w:t>
      </w:r>
      <w:r>
        <w:rPr>
          <w:rFonts w:hint="eastAsia"/>
        </w:rPr>
        <w:t>G205</w:t>
      </w:r>
      <w:r>
        <w:rPr>
          <w:rFonts w:hint="eastAsia"/>
        </w:rPr>
        <w:t>以北。</w:t>
      </w:r>
    </w:p>
    <w:p w:rsidR="006D75C9" w:rsidRDefault="000B15B3">
      <w:pPr>
        <w:pStyle w:val="11"/>
        <w:spacing w:after="156"/>
        <w:ind w:firstLine="602"/>
        <w:rPr>
          <w:b/>
        </w:rPr>
      </w:pPr>
      <w:r>
        <w:rPr>
          <w:rFonts w:hint="eastAsia"/>
          <w:b/>
        </w:rPr>
        <w:t>建设性质</w:t>
      </w:r>
      <w:r>
        <w:rPr>
          <w:rFonts w:hint="eastAsia"/>
        </w:rPr>
        <w:t>：新建。</w:t>
      </w:r>
    </w:p>
    <w:p w:rsidR="006D75C9" w:rsidRDefault="000B15B3">
      <w:pPr>
        <w:pStyle w:val="11"/>
        <w:spacing w:after="156"/>
        <w:ind w:firstLine="602"/>
      </w:pPr>
      <w:r>
        <w:rPr>
          <w:rFonts w:hint="eastAsia"/>
          <w:b/>
        </w:rPr>
        <w:t>交通条件：</w:t>
      </w:r>
      <w:r>
        <w:rPr>
          <w:rFonts w:hint="eastAsia"/>
        </w:rPr>
        <w:t>通过梅州环城高速公路西段可快速进入梅河高速公路、汕梅高速公路等</w:t>
      </w:r>
      <w:r>
        <w:rPr>
          <w:rFonts w:hint="eastAsia"/>
          <w:color w:val="000000"/>
        </w:rPr>
        <w:t>高等级</w:t>
      </w:r>
      <w:r>
        <w:rPr>
          <w:rFonts w:hint="eastAsia"/>
        </w:rPr>
        <w:t>对外联系通道；通过</w:t>
      </w:r>
      <w:r>
        <w:rPr>
          <w:rFonts w:hint="eastAsia"/>
        </w:rPr>
        <w:t>G205</w:t>
      </w:r>
      <w:r>
        <w:rPr>
          <w:rFonts w:hint="eastAsia"/>
        </w:rPr>
        <w:t>实现与城市主干道的连通。</w:t>
      </w:r>
    </w:p>
    <w:p w:rsidR="006D75C9" w:rsidRDefault="000B15B3">
      <w:pPr>
        <w:pStyle w:val="11"/>
        <w:spacing w:after="156"/>
        <w:ind w:firstLine="602"/>
      </w:pPr>
      <w:r>
        <w:rPr>
          <w:rFonts w:hint="eastAsia"/>
          <w:b/>
        </w:rPr>
        <w:lastRenderedPageBreak/>
        <w:t>功能定位</w:t>
      </w:r>
      <w:r>
        <w:rPr>
          <w:rFonts w:hint="eastAsia"/>
        </w:rPr>
        <w:t>：功能主要有三方面，一是服务于梅县区商贸物流企业、城西商贸物流企业，为园内的企业提供专业化、现代化的物流基础设施平台；二是</w:t>
      </w:r>
      <w:r>
        <w:rPr>
          <w:rFonts w:ascii="宋体" w:hAnsi="宋体" w:hint="eastAsia"/>
          <w:szCs w:val="21"/>
        </w:rPr>
        <w:t>建设城市生活消费品仓储区，</w:t>
      </w:r>
      <w:r>
        <w:rPr>
          <w:rFonts w:hint="eastAsia"/>
        </w:rPr>
        <w:t>为梅县区、城西及江北组团提供现代化的城市物流配送服务；三是为甩挂运输提供甩挂场地，为过境货物提供中转换装服务，通过梅州货运枢纽信息平台，提供各种信息咨询服务。</w:t>
      </w:r>
    </w:p>
    <w:p w:rsidR="006D75C9" w:rsidRDefault="000B15B3">
      <w:pPr>
        <w:pStyle w:val="11"/>
        <w:spacing w:after="156"/>
        <w:ind w:firstLine="602"/>
      </w:pPr>
      <w:r>
        <w:rPr>
          <w:rFonts w:hint="eastAsia"/>
          <w:b/>
        </w:rPr>
        <w:t>作业能力</w:t>
      </w:r>
      <w:r>
        <w:rPr>
          <w:rFonts w:hint="eastAsia"/>
        </w:rPr>
        <w:t>：规划吞吐能力</w:t>
      </w:r>
      <w:r>
        <w:rPr>
          <w:rFonts w:hint="eastAsia"/>
        </w:rPr>
        <w:t>18</w:t>
      </w:r>
      <w:r>
        <w:t>0</w:t>
      </w:r>
      <w:r>
        <w:rPr>
          <w:rFonts w:hint="eastAsia"/>
        </w:rPr>
        <w:t>万吨。</w:t>
      </w:r>
    </w:p>
    <w:p w:rsidR="006D75C9" w:rsidRDefault="000B15B3">
      <w:pPr>
        <w:pStyle w:val="11"/>
        <w:spacing w:after="156"/>
        <w:ind w:firstLine="602"/>
      </w:pPr>
      <w:r>
        <w:rPr>
          <w:rFonts w:hint="eastAsia"/>
          <w:b/>
        </w:rPr>
        <w:t>占地规模</w:t>
      </w:r>
      <w:r>
        <w:rPr>
          <w:rFonts w:hint="eastAsia"/>
        </w:rPr>
        <w:t>：</w:t>
      </w:r>
      <w:r>
        <w:rPr>
          <w:rFonts w:hint="eastAsia"/>
        </w:rPr>
        <w:t>14.67</w:t>
      </w:r>
      <w:r>
        <w:rPr>
          <w:rFonts w:hint="eastAsia"/>
        </w:rPr>
        <w:t>万平方米（</w:t>
      </w:r>
      <w:r>
        <w:rPr>
          <w:rFonts w:hint="eastAsia"/>
        </w:rPr>
        <w:t>220</w:t>
      </w:r>
      <w:r>
        <w:rPr>
          <w:rFonts w:hint="eastAsia"/>
        </w:rPr>
        <w:t>亩）。</w:t>
      </w:r>
    </w:p>
    <w:p w:rsidR="00C854DA" w:rsidRDefault="00C854DA">
      <w:pPr>
        <w:pStyle w:val="11"/>
        <w:spacing w:after="156"/>
      </w:pPr>
    </w:p>
    <w:p w:rsidR="006D75C9" w:rsidRDefault="000B15B3">
      <w:pPr>
        <w:pStyle w:val="a0"/>
        <w:spacing w:before="156" w:after="156"/>
      </w:pPr>
      <w:r>
        <w:rPr>
          <w:rFonts w:hint="eastAsia"/>
        </w:rPr>
        <w:t>梅州公路货运枢纽推荐布局方案</w:t>
      </w:r>
    </w:p>
    <w:tbl>
      <w:tblPr>
        <w:tblW w:w="869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02"/>
        <w:gridCol w:w="1036"/>
        <w:gridCol w:w="1318"/>
        <w:gridCol w:w="4754"/>
        <w:gridCol w:w="1087"/>
      </w:tblGrid>
      <w:tr w:rsidR="006D75C9">
        <w:trPr>
          <w:trHeight w:val="694"/>
          <w:jc w:val="center"/>
        </w:trPr>
        <w:tc>
          <w:tcPr>
            <w:tcW w:w="502" w:type="dxa"/>
            <w:tcMar>
              <w:left w:w="57" w:type="dxa"/>
              <w:right w:w="57" w:type="dxa"/>
            </w:tcMar>
            <w:vAlign w:val="center"/>
          </w:tcPr>
          <w:p w:rsidR="006D75C9" w:rsidRDefault="000B15B3">
            <w:pPr>
              <w:pStyle w:val="af3"/>
              <w:spacing w:beforeLines="10" w:before="31" w:afterLines="10" w:after="31"/>
              <w:rPr>
                <w:rFonts w:ascii="宋体" w:hAnsi="宋体"/>
                <w:spacing w:val="10"/>
              </w:rPr>
            </w:pPr>
            <w:r>
              <w:rPr>
                <w:rFonts w:ascii="宋体" w:hAnsi="宋体" w:hint="eastAsia"/>
                <w:spacing w:val="10"/>
              </w:rPr>
              <w:t>序号</w:t>
            </w:r>
          </w:p>
        </w:tc>
        <w:tc>
          <w:tcPr>
            <w:tcW w:w="1036" w:type="dxa"/>
            <w:tcMar>
              <w:left w:w="57" w:type="dxa"/>
              <w:right w:w="57" w:type="dxa"/>
            </w:tcMar>
            <w:vAlign w:val="center"/>
          </w:tcPr>
          <w:p w:rsidR="006D75C9" w:rsidRDefault="000B15B3">
            <w:pPr>
              <w:pStyle w:val="af3"/>
              <w:spacing w:beforeLines="10" w:before="31" w:afterLines="10" w:after="31"/>
              <w:rPr>
                <w:rFonts w:ascii="宋体" w:hAnsi="宋体"/>
                <w:spacing w:val="10"/>
              </w:rPr>
            </w:pPr>
            <w:r>
              <w:rPr>
                <w:rFonts w:ascii="宋体" w:hAnsi="宋体" w:hint="eastAsia"/>
                <w:spacing w:val="10"/>
              </w:rPr>
              <w:t>站场名称</w:t>
            </w:r>
          </w:p>
        </w:tc>
        <w:tc>
          <w:tcPr>
            <w:tcW w:w="1318" w:type="dxa"/>
            <w:tcMar>
              <w:left w:w="57" w:type="dxa"/>
              <w:right w:w="57" w:type="dxa"/>
            </w:tcMar>
            <w:vAlign w:val="center"/>
          </w:tcPr>
          <w:p w:rsidR="006D75C9" w:rsidRDefault="000B15B3">
            <w:pPr>
              <w:pStyle w:val="af3"/>
              <w:spacing w:beforeLines="10" w:before="31" w:afterLines="10" w:after="31"/>
              <w:rPr>
                <w:rFonts w:ascii="宋体" w:hAnsi="宋体"/>
                <w:spacing w:val="10"/>
              </w:rPr>
            </w:pPr>
            <w:r>
              <w:rPr>
                <w:rFonts w:ascii="宋体" w:hAnsi="宋体" w:hint="eastAsia"/>
                <w:spacing w:val="10"/>
              </w:rPr>
              <w:t>占地规模</w:t>
            </w:r>
          </w:p>
        </w:tc>
        <w:tc>
          <w:tcPr>
            <w:tcW w:w="4754" w:type="dxa"/>
            <w:tcMar>
              <w:left w:w="57" w:type="dxa"/>
              <w:right w:w="57" w:type="dxa"/>
            </w:tcMar>
            <w:vAlign w:val="center"/>
          </w:tcPr>
          <w:p w:rsidR="006D75C9" w:rsidRDefault="000B15B3">
            <w:pPr>
              <w:pStyle w:val="af3"/>
              <w:spacing w:beforeLines="10" w:before="31" w:afterLines="10" w:after="31"/>
              <w:rPr>
                <w:rFonts w:ascii="宋体" w:hAnsi="宋体"/>
                <w:spacing w:val="10"/>
              </w:rPr>
            </w:pPr>
            <w:r>
              <w:rPr>
                <w:rFonts w:ascii="宋体" w:hAnsi="宋体" w:hint="eastAsia"/>
                <w:spacing w:val="10"/>
              </w:rPr>
              <w:t>功能定位</w:t>
            </w:r>
          </w:p>
        </w:tc>
        <w:tc>
          <w:tcPr>
            <w:tcW w:w="1087" w:type="dxa"/>
            <w:tcMar>
              <w:left w:w="57" w:type="dxa"/>
              <w:right w:w="57" w:type="dxa"/>
            </w:tcMar>
            <w:vAlign w:val="center"/>
          </w:tcPr>
          <w:p w:rsidR="006D75C9" w:rsidRDefault="000B15B3">
            <w:pPr>
              <w:pStyle w:val="af3"/>
              <w:spacing w:beforeLines="10" w:before="31" w:afterLines="10" w:after="31"/>
              <w:rPr>
                <w:rFonts w:ascii="宋体" w:hAnsi="宋体"/>
                <w:spacing w:val="10"/>
              </w:rPr>
            </w:pPr>
            <w:r>
              <w:rPr>
                <w:rFonts w:ascii="宋体" w:hAnsi="宋体" w:hint="eastAsia"/>
                <w:spacing w:val="10"/>
              </w:rPr>
              <w:t>站址</w:t>
            </w:r>
          </w:p>
          <w:p w:rsidR="006D75C9" w:rsidRDefault="000B15B3">
            <w:pPr>
              <w:pStyle w:val="af3"/>
              <w:spacing w:beforeLines="10" w:before="31" w:afterLines="10" w:after="31"/>
              <w:rPr>
                <w:rFonts w:ascii="宋体" w:hAnsi="宋体"/>
                <w:spacing w:val="10"/>
              </w:rPr>
            </w:pPr>
            <w:r>
              <w:rPr>
                <w:rFonts w:ascii="宋体" w:hAnsi="宋体" w:hint="eastAsia"/>
                <w:spacing w:val="10"/>
              </w:rPr>
              <w:t>位置</w:t>
            </w:r>
          </w:p>
        </w:tc>
      </w:tr>
      <w:tr w:rsidR="006D75C9">
        <w:trPr>
          <w:trHeight w:val="2144"/>
          <w:jc w:val="center"/>
        </w:trPr>
        <w:tc>
          <w:tcPr>
            <w:tcW w:w="502" w:type="dxa"/>
            <w:tcMar>
              <w:left w:w="57" w:type="dxa"/>
              <w:right w:w="57" w:type="dxa"/>
            </w:tcMar>
            <w:vAlign w:val="center"/>
          </w:tcPr>
          <w:p w:rsidR="006D75C9" w:rsidRDefault="000B15B3">
            <w:pPr>
              <w:pStyle w:val="af3"/>
              <w:spacing w:beforeLines="10" w:before="31" w:afterLines="10" w:after="31"/>
              <w:rPr>
                <w:rFonts w:ascii="宋体" w:hAnsi="宋体"/>
                <w:spacing w:val="10"/>
              </w:rPr>
            </w:pPr>
            <w:r>
              <w:rPr>
                <w:rFonts w:ascii="宋体" w:hAnsi="宋体"/>
                <w:spacing w:val="10"/>
              </w:rPr>
              <w:t>1</w:t>
            </w:r>
          </w:p>
        </w:tc>
        <w:tc>
          <w:tcPr>
            <w:tcW w:w="1036" w:type="dxa"/>
            <w:tcMar>
              <w:left w:w="57" w:type="dxa"/>
              <w:right w:w="57" w:type="dxa"/>
            </w:tcMar>
            <w:vAlign w:val="center"/>
          </w:tcPr>
          <w:p w:rsidR="006D75C9" w:rsidRDefault="000B15B3">
            <w:pPr>
              <w:pStyle w:val="af3"/>
              <w:spacing w:beforeLines="10" w:before="31" w:afterLines="10" w:after="31"/>
              <w:rPr>
                <w:rFonts w:ascii="宋体" w:hAnsi="宋体"/>
                <w:spacing w:val="10"/>
              </w:rPr>
            </w:pPr>
            <w:r>
              <w:rPr>
                <w:rFonts w:ascii="宋体" w:hAnsi="宋体" w:hint="eastAsia"/>
                <w:spacing w:val="10"/>
              </w:rPr>
              <w:t>梅州畲江</w:t>
            </w:r>
          </w:p>
          <w:p w:rsidR="006D75C9" w:rsidRDefault="000B15B3">
            <w:pPr>
              <w:pStyle w:val="af3"/>
              <w:spacing w:beforeLines="10" w:before="31" w:afterLines="10" w:after="31"/>
              <w:rPr>
                <w:rFonts w:ascii="宋体" w:hAnsi="宋体"/>
                <w:spacing w:val="10"/>
              </w:rPr>
            </w:pPr>
            <w:r>
              <w:rPr>
                <w:rFonts w:ascii="宋体" w:hAnsi="宋体" w:hint="eastAsia"/>
                <w:spacing w:val="10"/>
              </w:rPr>
              <w:t>物流中心</w:t>
            </w:r>
          </w:p>
        </w:tc>
        <w:tc>
          <w:tcPr>
            <w:tcW w:w="1318" w:type="dxa"/>
            <w:tcMar>
              <w:left w:w="57" w:type="dxa"/>
              <w:right w:w="57" w:type="dxa"/>
            </w:tcMar>
            <w:vAlign w:val="center"/>
          </w:tcPr>
          <w:p w:rsidR="006D75C9" w:rsidRDefault="000B15B3">
            <w:pPr>
              <w:pStyle w:val="af3"/>
              <w:spacing w:beforeLines="10" w:before="31" w:afterLines="10" w:after="31"/>
              <w:jc w:val="both"/>
            </w:pPr>
            <w:r>
              <w:rPr>
                <w:rFonts w:hint="eastAsia"/>
              </w:rPr>
              <w:t>20</w:t>
            </w:r>
            <w:r>
              <w:rPr>
                <w:rFonts w:hint="eastAsia"/>
              </w:rPr>
              <w:t>万平方米</w:t>
            </w:r>
          </w:p>
          <w:p w:rsidR="006D75C9" w:rsidRDefault="000B15B3">
            <w:pPr>
              <w:pStyle w:val="af3"/>
              <w:spacing w:beforeLines="10" w:before="31" w:afterLines="10" w:after="31"/>
              <w:jc w:val="both"/>
            </w:pPr>
            <w:r>
              <w:rPr>
                <w:rFonts w:hint="eastAsia"/>
              </w:rPr>
              <w:t>（</w:t>
            </w:r>
            <w:r>
              <w:rPr>
                <w:rFonts w:hint="eastAsia"/>
              </w:rPr>
              <w:t>300</w:t>
            </w:r>
            <w:r>
              <w:rPr>
                <w:rFonts w:hint="eastAsia"/>
              </w:rPr>
              <w:t>亩）</w:t>
            </w:r>
          </w:p>
        </w:tc>
        <w:tc>
          <w:tcPr>
            <w:tcW w:w="4754" w:type="dxa"/>
            <w:tcMar>
              <w:left w:w="57" w:type="dxa"/>
              <w:right w:w="57" w:type="dxa"/>
            </w:tcMar>
            <w:vAlign w:val="center"/>
          </w:tcPr>
          <w:p w:rsidR="006D75C9" w:rsidRDefault="000B15B3">
            <w:pPr>
              <w:pStyle w:val="af3"/>
              <w:spacing w:beforeLines="10" w:before="31" w:afterLines="10" w:after="31"/>
              <w:jc w:val="both"/>
              <w:rPr>
                <w:rFonts w:ascii="宋体" w:hAnsi="宋体"/>
                <w:spacing w:val="10"/>
              </w:rPr>
            </w:pPr>
            <w:r>
              <w:rPr>
                <w:rFonts w:hint="eastAsia"/>
              </w:rPr>
              <w:t>功能有主要有：第一，服务于园区内的工业企业，为其提供专业化、现代化的物流基础设施平台；第二，依托便利区位和交通条件，第二，面向粤东北地区，形成以公铁联运为支撑的物流集散中心。</w:t>
            </w:r>
            <w:r>
              <w:rPr>
                <w:rFonts w:hint="eastAsia"/>
                <w:spacing w:val="10"/>
              </w:rPr>
              <w:t>在发展初期提供货运信息交易平台，到中远期发展为集公路货运、集货配载、停车服务、仓储管理于一体的社会公用型货运站场。</w:t>
            </w:r>
          </w:p>
        </w:tc>
        <w:tc>
          <w:tcPr>
            <w:tcW w:w="1087" w:type="dxa"/>
            <w:tcMar>
              <w:left w:w="57" w:type="dxa"/>
              <w:right w:w="57" w:type="dxa"/>
            </w:tcMar>
            <w:vAlign w:val="center"/>
          </w:tcPr>
          <w:p w:rsidR="006D75C9" w:rsidRDefault="000B15B3">
            <w:pPr>
              <w:pStyle w:val="af3"/>
              <w:spacing w:beforeLines="10" w:before="31" w:afterLines="10" w:after="31"/>
              <w:jc w:val="both"/>
              <w:rPr>
                <w:rFonts w:ascii="宋体" w:hAnsi="宋体"/>
                <w:color w:val="FF0000"/>
                <w:spacing w:val="10"/>
              </w:rPr>
            </w:pPr>
            <w:r>
              <w:rPr>
                <w:rFonts w:hint="eastAsia"/>
              </w:rPr>
              <w:t>临近综合保税区和松棚火车站。</w:t>
            </w:r>
          </w:p>
        </w:tc>
      </w:tr>
      <w:tr w:rsidR="006D75C9">
        <w:trPr>
          <w:trHeight w:val="1545"/>
          <w:jc w:val="center"/>
        </w:trPr>
        <w:tc>
          <w:tcPr>
            <w:tcW w:w="502" w:type="dxa"/>
            <w:tcMar>
              <w:left w:w="57" w:type="dxa"/>
              <w:right w:w="57" w:type="dxa"/>
            </w:tcMar>
            <w:vAlign w:val="center"/>
          </w:tcPr>
          <w:p w:rsidR="006D75C9" w:rsidRDefault="000B15B3">
            <w:pPr>
              <w:pStyle w:val="af3"/>
              <w:spacing w:beforeLines="10" w:before="31" w:afterLines="10" w:after="31"/>
              <w:rPr>
                <w:rFonts w:ascii="宋体" w:hAnsi="宋体"/>
                <w:spacing w:val="10"/>
              </w:rPr>
            </w:pPr>
            <w:r>
              <w:rPr>
                <w:rFonts w:ascii="宋体" w:hAnsi="宋体" w:hint="eastAsia"/>
                <w:spacing w:val="10"/>
              </w:rPr>
              <w:t>3</w:t>
            </w:r>
          </w:p>
        </w:tc>
        <w:tc>
          <w:tcPr>
            <w:tcW w:w="1036" w:type="dxa"/>
            <w:tcMar>
              <w:left w:w="57" w:type="dxa"/>
              <w:right w:w="57" w:type="dxa"/>
            </w:tcMar>
            <w:vAlign w:val="center"/>
          </w:tcPr>
          <w:p w:rsidR="006D75C9" w:rsidRDefault="000B15B3">
            <w:pPr>
              <w:pStyle w:val="af3"/>
              <w:spacing w:beforeLines="10" w:before="31" w:afterLines="10" w:after="31"/>
              <w:rPr>
                <w:rFonts w:ascii="宋体" w:hAnsi="宋体"/>
                <w:spacing w:val="10"/>
              </w:rPr>
            </w:pPr>
            <w:r>
              <w:rPr>
                <w:rFonts w:ascii="宋体" w:hAnsi="宋体" w:hint="eastAsia"/>
                <w:spacing w:val="10"/>
              </w:rPr>
              <w:t>梅州北物流中心</w:t>
            </w:r>
          </w:p>
        </w:tc>
        <w:tc>
          <w:tcPr>
            <w:tcW w:w="1318" w:type="dxa"/>
            <w:tcMar>
              <w:left w:w="57" w:type="dxa"/>
              <w:right w:w="57" w:type="dxa"/>
            </w:tcMar>
            <w:vAlign w:val="center"/>
          </w:tcPr>
          <w:p w:rsidR="006D75C9" w:rsidRDefault="000B15B3">
            <w:pPr>
              <w:pStyle w:val="af3"/>
              <w:spacing w:beforeLines="10" w:before="31" w:afterLines="10" w:after="31"/>
              <w:jc w:val="both"/>
            </w:pPr>
            <w:r>
              <w:rPr>
                <w:rFonts w:hint="eastAsia"/>
              </w:rPr>
              <w:t>10</w:t>
            </w:r>
            <w:r>
              <w:rPr>
                <w:rFonts w:hint="eastAsia"/>
              </w:rPr>
              <w:t>万平方米</w:t>
            </w:r>
          </w:p>
          <w:p w:rsidR="006D75C9" w:rsidRDefault="000B15B3">
            <w:pPr>
              <w:pStyle w:val="af3"/>
              <w:spacing w:beforeLines="10" w:before="31" w:afterLines="10" w:after="31"/>
              <w:jc w:val="both"/>
            </w:pPr>
            <w:r>
              <w:rPr>
                <w:rFonts w:hint="eastAsia"/>
              </w:rPr>
              <w:t>（</w:t>
            </w:r>
            <w:r>
              <w:rPr>
                <w:rFonts w:hint="eastAsia"/>
              </w:rPr>
              <w:t>150</w:t>
            </w:r>
            <w:r>
              <w:rPr>
                <w:rFonts w:hint="eastAsia"/>
              </w:rPr>
              <w:t>亩）</w:t>
            </w:r>
          </w:p>
        </w:tc>
        <w:tc>
          <w:tcPr>
            <w:tcW w:w="4754" w:type="dxa"/>
            <w:tcMar>
              <w:left w:w="57" w:type="dxa"/>
              <w:right w:w="57" w:type="dxa"/>
            </w:tcMar>
            <w:vAlign w:val="center"/>
          </w:tcPr>
          <w:p w:rsidR="006D75C9" w:rsidRDefault="000B15B3">
            <w:pPr>
              <w:pStyle w:val="af3"/>
              <w:spacing w:beforeLines="10" w:before="31" w:afterLines="10" w:after="31"/>
              <w:jc w:val="both"/>
            </w:pPr>
            <w:r>
              <w:rPr>
                <w:rFonts w:hint="eastAsia"/>
              </w:rPr>
              <w:t>功能有主要有：第一，实现城区与内陆地区的货物流转；为城市提供现代化的物流配送服务；第二，面向内陆广大的市场，实现公路、铁路货运中转及联运，为广东南部沿海与中国东部沿海地区提供便利的货运中转站。</w:t>
            </w:r>
          </w:p>
        </w:tc>
        <w:tc>
          <w:tcPr>
            <w:tcW w:w="1087" w:type="dxa"/>
            <w:tcMar>
              <w:left w:w="57" w:type="dxa"/>
              <w:right w:w="57" w:type="dxa"/>
            </w:tcMar>
            <w:vAlign w:val="center"/>
          </w:tcPr>
          <w:p w:rsidR="006D75C9" w:rsidRDefault="000B15B3">
            <w:pPr>
              <w:pStyle w:val="af3"/>
              <w:spacing w:beforeLines="10" w:before="31" w:afterLines="10" w:after="31"/>
              <w:jc w:val="both"/>
            </w:pPr>
            <w:r>
              <w:rPr>
                <w:rFonts w:hint="eastAsia"/>
              </w:rPr>
              <w:t>梅州环城北路（</w:t>
            </w:r>
            <w:r>
              <w:rPr>
                <w:rFonts w:hint="eastAsia"/>
              </w:rPr>
              <w:t>G205</w:t>
            </w:r>
            <w:r>
              <w:rPr>
                <w:rFonts w:hint="eastAsia"/>
              </w:rPr>
              <w:t>）与</w:t>
            </w:r>
            <w:r>
              <w:rPr>
                <w:rFonts w:hint="eastAsia"/>
              </w:rPr>
              <w:t>G206</w:t>
            </w:r>
            <w:r>
              <w:rPr>
                <w:rFonts w:hint="eastAsia"/>
              </w:rPr>
              <w:t>交界处以北</w:t>
            </w:r>
          </w:p>
        </w:tc>
      </w:tr>
      <w:tr w:rsidR="006D75C9">
        <w:trPr>
          <w:trHeight w:val="2117"/>
          <w:jc w:val="center"/>
        </w:trPr>
        <w:tc>
          <w:tcPr>
            <w:tcW w:w="502" w:type="dxa"/>
            <w:tcMar>
              <w:left w:w="57" w:type="dxa"/>
              <w:right w:w="57" w:type="dxa"/>
            </w:tcMar>
            <w:vAlign w:val="center"/>
          </w:tcPr>
          <w:p w:rsidR="006D75C9" w:rsidRDefault="000B15B3">
            <w:pPr>
              <w:pStyle w:val="af3"/>
              <w:spacing w:beforeLines="10" w:before="31" w:afterLines="10" w:after="31"/>
              <w:rPr>
                <w:rFonts w:ascii="宋体" w:hAnsi="宋体"/>
                <w:spacing w:val="10"/>
              </w:rPr>
            </w:pPr>
            <w:r>
              <w:rPr>
                <w:rFonts w:ascii="宋体" w:hAnsi="宋体" w:hint="eastAsia"/>
                <w:spacing w:val="10"/>
              </w:rPr>
              <w:t>4</w:t>
            </w:r>
          </w:p>
        </w:tc>
        <w:tc>
          <w:tcPr>
            <w:tcW w:w="1036" w:type="dxa"/>
            <w:tcMar>
              <w:left w:w="57" w:type="dxa"/>
              <w:right w:w="57" w:type="dxa"/>
            </w:tcMar>
            <w:vAlign w:val="center"/>
          </w:tcPr>
          <w:p w:rsidR="006D75C9" w:rsidRDefault="000B15B3">
            <w:pPr>
              <w:pStyle w:val="af3"/>
              <w:spacing w:beforeLines="10" w:before="31" w:afterLines="10" w:after="31"/>
              <w:rPr>
                <w:rFonts w:ascii="宋体" w:hAnsi="宋体"/>
                <w:spacing w:val="10"/>
              </w:rPr>
            </w:pPr>
            <w:r>
              <w:rPr>
                <w:rFonts w:ascii="宋体" w:hAnsi="宋体" w:hint="eastAsia"/>
                <w:spacing w:val="10"/>
              </w:rPr>
              <w:t>梅州西</w:t>
            </w:r>
          </w:p>
          <w:p w:rsidR="006D75C9" w:rsidRDefault="000B15B3">
            <w:pPr>
              <w:pStyle w:val="af3"/>
              <w:spacing w:beforeLines="10" w:before="31" w:afterLines="10" w:after="31"/>
              <w:rPr>
                <w:rFonts w:ascii="宋体" w:hAnsi="宋体"/>
                <w:spacing w:val="10"/>
              </w:rPr>
            </w:pPr>
            <w:r>
              <w:rPr>
                <w:rFonts w:ascii="宋体" w:hAnsi="宋体" w:hint="eastAsia"/>
                <w:spacing w:val="10"/>
              </w:rPr>
              <w:t>物流中心</w:t>
            </w:r>
          </w:p>
        </w:tc>
        <w:tc>
          <w:tcPr>
            <w:tcW w:w="1318" w:type="dxa"/>
            <w:tcMar>
              <w:left w:w="57" w:type="dxa"/>
              <w:right w:w="57" w:type="dxa"/>
            </w:tcMar>
            <w:vAlign w:val="center"/>
          </w:tcPr>
          <w:p w:rsidR="006D75C9" w:rsidRDefault="000B15B3">
            <w:pPr>
              <w:pStyle w:val="af3"/>
              <w:spacing w:beforeLines="10" w:before="31" w:afterLines="10" w:after="31"/>
            </w:pPr>
            <w:r>
              <w:rPr>
                <w:rFonts w:hint="eastAsia"/>
              </w:rPr>
              <w:t>14.67</w:t>
            </w:r>
            <w:r>
              <w:rPr>
                <w:rFonts w:hint="eastAsia"/>
              </w:rPr>
              <w:t>万</w:t>
            </w:r>
          </w:p>
          <w:p w:rsidR="006D75C9" w:rsidRDefault="000B15B3">
            <w:pPr>
              <w:pStyle w:val="af3"/>
              <w:spacing w:beforeLines="10" w:before="31" w:afterLines="10" w:after="31"/>
            </w:pPr>
            <w:r>
              <w:rPr>
                <w:rFonts w:hint="eastAsia"/>
              </w:rPr>
              <w:t>平方米</w:t>
            </w:r>
          </w:p>
          <w:p w:rsidR="006D75C9" w:rsidRDefault="000B15B3">
            <w:pPr>
              <w:pStyle w:val="af3"/>
              <w:spacing w:beforeLines="10" w:before="31" w:afterLines="10" w:after="31"/>
            </w:pPr>
            <w:r>
              <w:rPr>
                <w:rFonts w:hint="eastAsia"/>
              </w:rPr>
              <w:t>（</w:t>
            </w:r>
            <w:r>
              <w:rPr>
                <w:rFonts w:hint="eastAsia"/>
              </w:rPr>
              <w:t>220</w:t>
            </w:r>
            <w:r>
              <w:rPr>
                <w:rFonts w:hint="eastAsia"/>
              </w:rPr>
              <w:t>亩）</w:t>
            </w:r>
          </w:p>
        </w:tc>
        <w:tc>
          <w:tcPr>
            <w:tcW w:w="4754" w:type="dxa"/>
            <w:tcMar>
              <w:left w:w="57" w:type="dxa"/>
              <w:right w:w="57" w:type="dxa"/>
            </w:tcMar>
            <w:vAlign w:val="center"/>
          </w:tcPr>
          <w:p w:rsidR="006D75C9" w:rsidRDefault="000B15B3">
            <w:pPr>
              <w:pStyle w:val="af3"/>
              <w:spacing w:beforeLines="10" w:before="31" w:afterLines="10" w:after="31"/>
              <w:jc w:val="both"/>
              <w:rPr>
                <w:rFonts w:ascii="宋体" w:hAnsi="宋体"/>
                <w:spacing w:val="10"/>
              </w:rPr>
            </w:pPr>
            <w:r>
              <w:rPr>
                <w:rFonts w:hint="eastAsia"/>
              </w:rPr>
              <w:t>功能主要有三方面，一是服务于梅县区商贸物流企业、城西商贸物流企业，为园内的企业提供专业化、现代化的物流基础设施平台；二是建设城市生活消费品仓储区，为梅县区、城西及江北组团提供现代化的城市物流配送服务；三是为甩挂运输提供甩挂场地，为过境货物提供中转换装服务，通过梅州货运枢纽信息平台，提供各种信息咨询服务。</w:t>
            </w:r>
          </w:p>
        </w:tc>
        <w:tc>
          <w:tcPr>
            <w:tcW w:w="1087" w:type="dxa"/>
            <w:tcMar>
              <w:left w:w="57" w:type="dxa"/>
              <w:right w:w="57" w:type="dxa"/>
            </w:tcMar>
            <w:vAlign w:val="center"/>
          </w:tcPr>
          <w:p w:rsidR="006D75C9" w:rsidRDefault="000B15B3">
            <w:pPr>
              <w:pStyle w:val="af3"/>
              <w:spacing w:beforeLines="10" w:before="31" w:afterLines="10" w:after="31"/>
              <w:jc w:val="both"/>
              <w:rPr>
                <w:rFonts w:ascii="宋体" w:hAnsi="宋体"/>
                <w:spacing w:val="10"/>
              </w:rPr>
            </w:pPr>
            <w:r>
              <w:rPr>
                <w:rFonts w:hint="eastAsia"/>
              </w:rPr>
              <w:t>梅州环城高速公路西段西侧，</w:t>
            </w:r>
            <w:r>
              <w:rPr>
                <w:rFonts w:hint="eastAsia"/>
              </w:rPr>
              <w:t>G205</w:t>
            </w:r>
            <w:r>
              <w:rPr>
                <w:rFonts w:hint="eastAsia"/>
              </w:rPr>
              <w:t>以北。</w:t>
            </w:r>
          </w:p>
        </w:tc>
      </w:tr>
    </w:tbl>
    <w:p w:rsidR="006D75C9" w:rsidRDefault="006D75C9">
      <w:pPr>
        <w:pStyle w:val="11"/>
        <w:spacing w:before="156" w:after="156"/>
      </w:pPr>
      <w:bookmarkStart w:id="22" w:name="_Toc430166402"/>
    </w:p>
    <w:p w:rsidR="006D75C9" w:rsidRDefault="006D75C9">
      <w:pPr>
        <w:widowControl/>
        <w:spacing w:beforeAutospacing="1" w:afterAutospacing="1"/>
        <w:jc w:val="left"/>
        <w:sectPr w:rsidR="006D75C9">
          <w:pgSz w:w="11906" w:h="16838"/>
          <w:pgMar w:top="1440" w:right="1418" w:bottom="1440" w:left="1985" w:header="851" w:footer="992" w:gutter="0"/>
          <w:cols w:space="720"/>
          <w:docGrid w:type="lines" w:linePitch="312"/>
        </w:sectPr>
      </w:pPr>
    </w:p>
    <w:p w:rsidR="006D75C9" w:rsidRDefault="00122F19" w:rsidP="00122F19">
      <w:pPr>
        <w:pStyle w:val="af6"/>
        <w:spacing w:before="156" w:after="156"/>
      </w:pPr>
      <w:r>
        <w:rPr>
          <w:noProof/>
        </w:rPr>
        <w:lastRenderedPageBreak/>
        <w:drawing>
          <wp:inline distT="0" distB="0" distL="0" distR="0">
            <wp:extent cx="7711649" cy="5439615"/>
            <wp:effectExtent l="0" t="0" r="381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货运5.1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15009" cy="5441985"/>
                    </a:xfrm>
                    <a:prstGeom prst="rect">
                      <a:avLst/>
                    </a:prstGeom>
                  </pic:spPr>
                </pic:pic>
              </a:graphicData>
            </a:graphic>
          </wp:inline>
        </w:drawing>
      </w:r>
    </w:p>
    <w:p w:rsidR="006D75C9" w:rsidRDefault="000B15B3">
      <w:pPr>
        <w:pStyle w:val="9"/>
        <w:numPr>
          <w:ilvl w:val="8"/>
          <w:numId w:val="0"/>
        </w:numPr>
        <w:spacing w:before="0" w:afterLines="50" w:after="156" w:line="360" w:lineRule="auto"/>
        <w:jc w:val="center"/>
      </w:pPr>
      <w:r>
        <w:rPr>
          <w:rFonts w:hint="eastAsia"/>
        </w:rPr>
        <w:t>图</w:t>
      </w:r>
      <w:r w:rsidR="00ED2BFC">
        <w:rPr>
          <w:rFonts w:hint="eastAsia"/>
        </w:rPr>
        <w:t xml:space="preserve"> </w:t>
      </w:r>
      <w:r w:rsidR="00C854DA">
        <w:t>3</w:t>
      </w:r>
      <w:r w:rsidR="00ED2BFC">
        <w:rPr>
          <w:rFonts w:hint="eastAsia"/>
        </w:rPr>
        <w:t xml:space="preserve">     </w:t>
      </w:r>
      <w:r>
        <w:rPr>
          <w:rFonts w:hint="eastAsia"/>
        </w:rPr>
        <w:t>梅州国家公路运输枢纽货运站场布局规划图（中心城区）</w:t>
      </w:r>
    </w:p>
    <w:p w:rsidR="006D75C9" w:rsidRDefault="006D75C9">
      <w:pPr>
        <w:widowControl/>
        <w:spacing w:beforeAutospacing="1" w:afterAutospacing="1"/>
        <w:jc w:val="left"/>
        <w:sectPr w:rsidR="006D75C9">
          <w:pgSz w:w="16838" w:h="11906" w:orient="landscape"/>
          <w:pgMar w:top="1418" w:right="1440" w:bottom="1304" w:left="1440" w:header="851" w:footer="992" w:gutter="0"/>
          <w:cols w:space="720"/>
          <w:docGrid w:type="lines" w:linePitch="312"/>
        </w:sectPr>
      </w:pPr>
    </w:p>
    <w:p w:rsidR="006D75C9" w:rsidRDefault="006D75C9">
      <w:pPr>
        <w:jc w:val="center"/>
      </w:pPr>
    </w:p>
    <w:p w:rsidR="006D75C9" w:rsidRDefault="00907CE2">
      <w:pPr>
        <w:jc w:val="center"/>
      </w:pPr>
      <w:r>
        <w:rPr>
          <w:noProof/>
        </w:rPr>
        <w:drawing>
          <wp:inline distT="0" distB="0" distL="0" distR="0">
            <wp:extent cx="3590925" cy="3438525"/>
            <wp:effectExtent l="0" t="0" r="9525"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90925" cy="3438525"/>
                    </a:xfrm>
                    <a:prstGeom prst="rect">
                      <a:avLst/>
                    </a:prstGeom>
                    <a:noFill/>
                    <a:ln>
                      <a:noFill/>
                    </a:ln>
                  </pic:spPr>
                </pic:pic>
              </a:graphicData>
            </a:graphic>
          </wp:inline>
        </w:drawing>
      </w:r>
    </w:p>
    <w:p w:rsidR="00C854DA" w:rsidRDefault="00C854DA">
      <w:pPr>
        <w:jc w:val="center"/>
      </w:pPr>
    </w:p>
    <w:p w:rsidR="006D75C9" w:rsidRDefault="000B15B3">
      <w:pPr>
        <w:pStyle w:val="9"/>
        <w:numPr>
          <w:ilvl w:val="8"/>
          <w:numId w:val="0"/>
        </w:numPr>
        <w:spacing w:before="0" w:afterLines="50" w:after="120" w:line="360" w:lineRule="auto"/>
        <w:jc w:val="center"/>
      </w:pPr>
      <w:r>
        <w:rPr>
          <w:rFonts w:hint="eastAsia"/>
        </w:rPr>
        <w:t>图</w:t>
      </w:r>
      <w:r>
        <w:rPr>
          <w:rFonts w:hint="eastAsia"/>
        </w:rPr>
        <w:t xml:space="preserve"> </w:t>
      </w:r>
      <w:r w:rsidR="00C854DA">
        <w:t>4</w:t>
      </w:r>
      <w:r>
        <w:rPr>
          <w:rFonts w:hint="eastAsia"/>
        </w:rPr>
        <w:t xml:space="preserve">     </w:t>
      </w:r>
      <w:r>
        <w:rPr>
          <w:rFonts w:hint="eastAsia"/>
        </w:rPr>
        <w:t>梅州国家公路运输枢纽货运站场布局规划图（畲江组团）</w:t>
      </w:r>
    </w:p>
    <w:p w:rsidR="006D75C9" w:rsidRDefault="000B15B3">
      <w:pPr>
        <w:widowControl/>
        <w:jc w:val="left"/>
        <w:rPr>
          <w:rFonts w:ascii="Arial" w:hAnsi="Arial"/>
          <w:b/>
          <w:bCs/>
          <w:color w:val="000000"/>
          <w:kern w:val="44"/>
          <w:sz w:val="32"/>
          <w:szCs w:val="32"/>
        </w:rPr>
      </w:pPr>
      <w:r>
        <w:br w:type="page"/>
      </w:r>
    </w:p>
    <w:p w:rsidR="006D75C9" w:rsidRDefault="000B15B3">
      <w:pPr>
        <w:pStyle w:val="1"/>
      </w:pPr>
      <w:r>
        <w:rPr>
          <w:rFonts w:hint="eastAsia"/>
        </w:rPr>
        <w:lastRenderedPageBreak/>
        <w:t>第六章</w:t>
      </w:r>
      <w:r>
        <w:rPr>
          <w:rFonts w:hint="eastAsia"/>
        </w:rPr>
        <w:t xml:space="preserve">  </w:t>
      </w:r>
      <w:r>
        <w:rPr>
          <w:rFonts w:hint="eastAsia"/>
        </w:rPr>
        <w:t>信息系统规划</w:t>
      </w:r>
      <w:bookmarkEnd w:id="22"/>
    </w:p>
    <w:p w:rsidR="006D75C9" w:rsidRDefault="000B15B3">
      <w:pPr>
        <w:pStyle w:val="11"/>
      </w:pPr>
      <w:r>
        <w:rPr>
          <w:rFonts w:hint="eastAsia"/>
        </w:rPr>
        <w:t>公路运输枢纽信息系统依托于枢纽站场内的客货运输业务以及相关管理工作和辅助服务，通过建设因特网的运输生产服务与管理平台，采用现代通讯、计算机、传感、控制等技术，实现公路运输服务的信息化，加强各种服务之间的信息共享与信息集成，实现公路运输领域实时、可靠的信息交互，提高公路运输服务的质量和效率，为运输消费者提供更加高效、安全、多样化服务。</w:t>
      </w:r>
    </w:p>
    <w:p w:rsidR="006D75C9" w:rsidRDefault="000B15B3">
      <w:pPr>
        <w:pStyle w:val="11"/>
      </w:pPr>
      <w:r>
        <w:rPr>
          <w:rFonts w:hint="eastAsia"/>
        </w:rPr>
        <w:t>公路运输枢纽信息系统的用户主要包括客货枢纽站、行业管理部门、运营企业和旅客消费者。信息系统应由五个子系统组成，即客运信息系统、货运信息系统、站场运营和站务管理信息系统、车辆调度和安全保障信息系统和公众服务信息系统。</w:t>
      </w:r>
    </w:p>
    <w:p w:rsidR="006D75C9" w:rsidRDefault="000B15B3">
      <w:pPr>
        <w:pStyle w:val="2"/>
        <w:numPr>
          <w:ilvl w:val="1"/>
          <w:numId w:val="0"/>
        </w:numPr>
        <w:spacing w:beforeLines="200" w:before="480" w:afterLines="150" w:after="360"/>
        <w:jc w:val="center"/>
      </w:pPr>
      <w:bookmarkStart w:id="23" w:name="_Toc90633346"/>
      <w:bookmarkStart w:id="24" w:name="_Toc90633541"/>
      <w:bookmarkStart w:id="25" w:name="_Toc90691425"/>
      <w:bookmarkStart w:id="26" w:name="_Toc430166403"/>
      <w:r>
        <w:rPr>
          <w:rFonts w:hint="eastAsia"/>
        </w:rPr>
        <w:t>第一节</w:t>
      </w:r>
      <w:r>
        <w:rPr>
          <w:rFonts w:hint="eastAsia"/>
        </w:rPr>
        <w:t xml:space="preserve">  </w:t>
      </w:r>
      <w:bookmarkEnd w:id="23"/>
      <w:bookmarkEnd w:id="24"/>
      <w:bookmarkEnd w:id="25"/>
      <w:r>
        <w:rPr>
          <w:rFonts w:hint="eastAsia"/>
        </w:rPr>
        <w:t>客运枢纽信息系统规划设想</w:t>
      </w:r>
      <w:bookmarkEnd w:id="26"/>
    </w:p>
    <w:p w:rsidR="006D75C9" w:rsidRDefault="000B15B3">
      <w:pPr>
        <w:pStyle w:val="11"/>
        <w:ind w:firstLine="560"/>
        <w:rPr>
          <w:spacing w:val="0"/>
        </w:rPr>
      </w:pPr>
      <w:r>
        <w:rPr>
          <w:rFonts w:hint="eastAsia"/>
          <w:spacing w:val="0"/>
        </w:rPr>
        <w:t>公路客运枢纽信息系统的建设涉及客运信息系统、站场运营和站务管理信息系统、车辆调度和安全保障信息系统和公众服务信息系统等四个子系统。</w:t>
      </w:r>
    </w:p>
    <w:p w:rsidR="006D75C9" w:rsidRDefault="000B15B3">
      <w:pPr>
        <w:pStyle w:val="3"/>
        <w:numPr>
          <w:ilvl w:val="0"/>
          <w:numId w:val="11"/>
        </w:numPr>
        <w:ind w:left="0" w:firstLineChars="200" w:firstLine="562"/>
      </w:pPr>
      <w:r>
        <w:rPr>
          <w:rFonts w:hint="eastAsia"/>
        </w:rPr>
        <w:t>客运信息系统</w:t>
      </w:r>
    </w:p>
    <w:p w:rsidR="006D75C9" w:rsidRDefault="000B15B3">
      <w:pPr>
        <w:pStyle w:val="11"/>
        <w:ind w:firstLine="560"/>
        <w:rPr>
          <w:spacing w:val="0"/>
        </w:rPr>
      </w:pPr>
      <w:r>
        <w:rPr>
          <w:rFonts w:hint="eastAsia"/>
          <w:spacing w:val="0"/>
        </w:rPr>
        <w:t>服务于行业管理部门、客运站、客运企业、司乘人员、旅客等。主要功能为旅客运输各环节业务的作业和管理，包括售票、检票、票务结算、司乘人员报班、签发行车路单、行包服务和质量管理等主要业务；提供与行业管理部门信息系统的接口，为行业管理提供统计分析数据。票务信息系统是整个客运信息系统的核心，主要包括站内售票、异地售票、联网售票、网上售票和自动化售票。</w:t>
      </w:r>
    </w:p>
    <w:p w:rsidR="006D75C9" w:rsidRDefault="000B15B3">
      <w:pPr>
        <w:pStyle w:val="3"/>
        <w:numPr>
          <w:ilvl w:val="0"/>
          <w:numId w:val="11"/>
        </w:numPr>
        <w:ind w:left="0" w:firstLineChars="200" w:firstLine="562"/>
      </w:pPr>
      <w:r>
        <w:rPr>
          <w:rFonts w:hint="eastAsia"/>
        </w:rPr>
        <w:lastRenderedPageBreak/>
        <w:t>站场运营和站务管理系统</w:t>
      </w:r>
    </w:p>
    <w:p w:rsidR="006D75C9" w:rsidRDefault="000B15B3">
      <w:pPr>
        <w:pStyle w:val="11"/>
        <w:ind w:firstLine="560"/>
        <w:rPr>
          <w:spacing w:val="0"/>
        </w:rPr>
      </w:pPr>
      <w:r>
        <w:rPr>
          <w:rFonts w:hint="eastAsia"/>
          <w:spacing w:val="0"/>
        </w:rPr>
        <w:t>服务各个客运站，主要功能为站场内部作业和各种设施设备的管理，站内安全监控，信息发布，人事财务管理，办公自动化。站场运营和站务管理信息系统实现站场内部作业的信息化和电子化，应根据各个站场的具体情况进行建设。建设的主要内容为以旅客为服务对象的智能化系统，主要包括有线电视系统、</w:t>
      </w:r>
      <w:r>
        <w:rPr>
          <w:rFonts w:hint="eastAsia"/>
          <w:spacing w:val="0"/>
        </w:rPr>
        <w:t>LED</w:t>
      </w:r>
      <w:r>
        <w:rPr>
          <w:rFonts w:hint="eastAsia"/>
          <w:spacing w:val="0"/>
        </w:rPr>
        <w:t>电子显示屏系统、公共广播系统、智能验票通道系统、柜台对讲显示系统、触摸屏系统等；以企业生产、内部管理为管理对象的智能化系统，包括安全防范系统、消防系统、计算机网络系统、</w:t>
      </w:r>
      <w:r>
        <w:rPr>
          <w:rFonts w:hint="eastAsia"/>
          <w:spacing w:val="0"/>
        </w:rPr>
        <w:t>UPS</w:t>
      </w:r>
      <w:r>
        <w:rPr>
          <w:rFonts w:hint="eastAsia"/>
          <w:spacing w:val="0"/>
        </w:rPr>
        <w:t>不间断电源系统、楼宇自动化系统、办公自动化系统等；以客运站班车为服务对象的智能化系统，包括客运门禁系统、智能停车场系统等。</w:t>
      </w:r>
    </w:p>
    <w:p w:rsidR="006D75C9" w:rsidRDefault="000B15B3">
      <w:pPr>
        <w:pStyle w:val="3"/>
        <w:numPr>
          <w:ilvl w:val="0"/>
          <w:numId w:val="11"/>
        </w:numPr>
        <w:ind w:left="0" w:firstLineChars="200" w:firstLine="562"/>
      </w:pPr>
      <w:r>
        <w:rPr>
          <w:rFonts w:hint="eastAsia"/>
        </w:rPr>
        <w:t>车辆调度和安全保障信息系统</w:t>
      </w:r>
    </w:p>
    <w:p w:rsidR="006D75C9" w:rsidRDefault="000B15B3">
      <w:pPr>
        <w:pStyle w:val="11"/>
        <w:ind w:firstLine="560"/>
        <w:rPr>
          <w:spacing w:val="0"/>
        </w:rPr>
      </w:pPr>
      <w:r>
        <w:rPr>
          <w:rFonts w:hint="eastAsia"/>
          <w:spacing w:val="0"/>
        </w:rPr>
        <w:t>服务于运营车辆，主要功能是监控车辆运行状况，提供车辆和货物定位、调度、救援服务。车辆调度和安全保障信息系统主要是通过在车辆内安装</w:t>
      </w:r>
      <w:r>
        <w:rPr>
          <w:rFonts w:hint="eastAsia"/>
          <w:spacing w:val="0"/>
        </w:rPr>
        <w:t>GPS</w:t>
      </w:r>
      <w:r>
        <w:rPr>
          <w:rFonts w:hint="eastAsia"/>
          <w:spacing w:val="0"/>
        </w:rPr>
        <w:t>车载单元和双向通讯设备，实现车辆自动定位，并将定位信息发送给调度中心，使其能够实时监测车辆的运行状态，并向车辆发布各种指令。当遇到交通堵塞、交通事故，或者在车内发生抢劫、火灾、故障、拥挤及乘客纠纷等紧急情况时，可向调度中心发出相应的呼救信息，或由调度中心根据定位信息判断车辆可能发生意外，便于与公安、急救中心迅速联系，作为快速反应，确保车辆、旅客人身及货物安全。</w:t>
      </w:r>
    </w:p>
    <w:p w:rsidR="006D75C9" w:rsidRDefault="000B15B3">
      <w:pPr>
        <w:pStyle w:val="3"/>
        <w:numPr>
          <w:ilvl w:val="0"/>
          <w:numId w:val="11"/>
        </w:numPr>
        <w:ind w:left="0" w:firstLineChars="200" w:firstLine="562"/>
      </w:pPr>
      <w:r>
        <w:rPr>
          <w:rFonts w:hint="eastAsia"/>
        </w:rPr>
        <w:t>公众信息服务系统</w:t>
      </w:r>
    </w:p>
    <w:p w:rsidR="006D75C9" w:rsidRDefault="000B15B3">
      <w:pPr>
        <w:pStyle w:val="11"/>
        <w:ind w:firstLine="560"/>
        <w:rPr>
          <w:spacing w:val="0"/>
        </w:rPr>
      </w:pPr>
      <w:r>
        <w:rPr>
          <w:rFonts w:hint="eastAsia"/>
          <w:spacing w:val="0"/>
        </w:rPr>
        <w:t>是面对广大运输消费者的统一界面，主要包括公众信息网站和呼叫中心。公众信息网站是指通过建立因特信息网站，为大众提供获取</w:t>
      </w:r>
      <w:r>
        <w:rPr>
          <w:rFonts w:hint="eastAsia"/>
          <w:spacing w:val="0"/>
        </w:rPr>
        <w:lastRenderedPageBreak/>
        <w:t>信息的渠道，也是公路枢纽内各站场利用其它系统获取服务的接口，是一种宽泛的信息网络服务。它服务的内容可以包括查询每个站车次、时刻、票价、车型、线路；查询其它运输方式换乘信息、目的地城市公交、轨道交通换乘信息、目的地城市旅游住宿餐饮信息；提供网上订票、购票功能、受理旅客投诉以及提供一些附加服务。呼叫中心是利用通信网和计算机的多项功能集成，并与企业连为一体的综合信息服务系统，提供</w:t>
      </w:r>
      <w:r>
        <w:rPr>
          <w:rFonts w:hint="eastAsia"/>
          <w:spacing w:val="0"/>
        </w:rPr>
        <w:t>24</w:t>
      </w:r>
      <w:r>
        <w:rPr>
          <w:rFonts w:hint="eastAsia"/>
          <w:spacing w:val="0"/>
        </w:rPr>
        <w:t>小时不间断服务，允许旅客与用户自由选择语音、</w:t>
      </w:r>
      <w:r>
        <w:rPr>
          <w:rFonts w:hint="eastAsia"/>
          <w:spacing w:val="0"/>
        </w:rPr>
        <w:t>IP</w:t>
      </w:r>
      <w:r>
        <w:rPr>
          <w:rFonts w:hint="eastAsia"/>
          <w:spacing w:val="0"/>
        </w:rPr>
        <w:t>电话</w:t>
      </w:r>
      <w:r>
        <w:rPr>
          <w:rFonts w:hint="eastAsia"/>
          <w:spacing w:val="0"/>
        </w:rPr>
        <w:t>/</w:t>
      </w:r>
      <w:r>
        <w:rPr>
          <w:rFonts w:hint="eastAsia"/>
          <w:spacing w:val="0"/>
        </w:rPr>
        <w:t>传真、电子</w:t>
      </w:r>
      <w:r>
        <w:rPr>
          <w:rFonts w:hint="eastAsia"/>
          <w:spacing w:val="0"/>
        </w:rPr>
        <w:t>/</w:t>
      </w:r>
      <w:r>
        <w:rPr>
          <w:rFonts w:hint="eastAsia"/>
          <w:spacing w:val="0"/>
        </w:rPr>
        <w:t>语音邮件、文字信息、视频信息等通信方式，满足用户各种信息服务需求。</w:t>
      </w:r>
    </w:p>
    <w:p w:rsidR="006D75C9" w:rsidRDefault="000B15B3">
      <w:pPr>
        <w:pStyle w:val="2"/>
        <w:numPr>
          <w:ilvl w:val="1"/>
          <w:numId w:val="0"/>
        </w:numPr>
        <w:spacing w:beforeLines="200" w:before="480" w:afterLines="150" w:after="360"/>
        <w:jc w:val="center"/>
      </w:pPr>
      <w:bookmarkStart w:id="27" w:name="_Toc430166404"/>
      <w:r>
        <w:rPr>
          <w:rFonts w:hint="eastAsia"/>
        </w:rPr>
        <w:t>第二节</w:t>
      </w:r>
      <w:r>
        <w:rPr>
          <w:rFonts w:hint="eastAsia"/>
        </w:rPr>
        <w:t xml:space="preserve">  </w:t>
      </w:r>
      <w:r>
        <w:rPr>
          <w:rFonts w:hint="eastAsia"/>
        </w:rPr>
        <w:t>货运枢纽信息系统规划设想</w:t>
      </w:r>
      <w:bookmarkEnd w:id="27"/>
    </w:p>
    <w:p w:rsidR="006D75C9" w:rsidRDefault="000B15B3">
      <w:pPr>
        <w:pStyle w:val="11"/>
        <w:ind w:firstLine="560"/>
        <w:rPr>
          <w:spacing w:val="0"/>
        </w:rPr>
      </w:pPr>
      <w:r>
        <w:rPr>
          <w:rFonts w:hint="eastAsia"/>
          <w:spacing w:val="0"/>
        </w:rPr>
        <w:t>货运枢纽信息系统建设涉及货运信息系统、站场运营和站务管理信息系统、车辆调度和安全保障信息系统和公众服务信息系统等四个子系统。</w:t>
      </w:r>
    </w:p>
    <w:p w:rsidR="006D75C9" w:rsidRDefault="000B15B3">
      <w:pPr>
        <w:pStyle w:val="3"/>
        <w:numPr>
          <w:ilvl w:val="0"/>
          <w:numId w:val="12"/>
        </w:numPr>
        <w:ind w:left="0" w:firstLineChars="200" w:firstLine="562"/>
      </w:pPr>
      <w:r>
        <w:rPr>
          <w:rFonts w:hint="eastAsia"/>
        </w:rPr>
        <w:t>货运信息系统</w:t>
      </w:r>
    </w:p>
    <w:p w:rsidR="006D75C9" w:rsidRDefault="000B15B3">
      <w:pPr>
        <w:pStyle w:val="11"/>
        <w:ind w:firstLine="560"/>
        <w:rPr>
          <w:spacing w:val="0"/>
        </w:rPr>
      </w:pPr>
      <w:r>
        <w:rPr>
          <w:rFonts w:hint="eastAsia"/>
          <w:spacing w:val="0"/>
        </w:rPr>
        <w:t>货运信息系统以建设公用信息平台为主要内容。共用信息平台建设要从数据采集系统、分析系统、交换系统全方位引导企业信息建设，鼓励接入共用信息平台系统，同时要求信息系统能够支持财务结算、电子商务发展，便于连接港口、机场、火车站及大型物流园区枢纽信息系统，连接银行、保险、海关、检验检疫等服务监督机构信息系统，提供</w:t>
      </w:r>
      <w:r>
        <w:rPr>
          <w:rFonts w:hint="eastAsia"/>
          <w:spacing w:val="0"/>
        </w:rPr>
        <w:t>EDI</w:t>
      </w:r>
      <w:r>
        <w:rPr>
          <w:rFonts w:hint="eastAsia"/>
          <w:spacing w:val="0"/>
        </w:rPr>
        <w:t>等数据交换服务。</w:t>
      </w:r>
    </w:p>
    <w:p w:rsidR="006D75C9" w:rsidRDefault="000B15B3">
      <w:pPr>
        <w:pStyle w:val="3"/>
        <w:numPr>
          <w:ilvl w:val="0"/>
          <w:numId w:val="12"/>
        </w:numPr>
        <w:ind w:left="0" w:firstLineChars="200" w:firstLine="562"/>
      </w:pPr>
      <w:r>
        <w:rPr>
          <w:rFonts w:hint="eastAsia"/>
        </w:rPr>
        <w:t>站场运营和站务管理系统</w:t>
      </w:r>
    </w:p>
    <w:p w:rsidR="006D75C9" w:rsidRDefault="000B15B3">
      <w:pPr>
        <w:pStyle w:val="11"/>
        <w:ind w:firstLine="560"/>
        <w:rPr>
          <w:spacing w:val="0"/>
        </w:rPr>
      </w:pPr>
      <w:r>
        <w:rPr>
          <w:rFonts w:hint="eastAsia"/>
          <w:spacing w:val="0"/>
        </w:rPr>
        <w:t>货运站运营和站务管理系统应当包括站内闭路电视监控系统、防</w:t>
      </w:r>
      <w:r>
        <w:rPr>
          <w:rFonts w:hint="eastAsia"/>
          <w:spacing w:val="0"/>
        </w:rPr>
        <w:lastRenderedPageBreak/>
        <w:t>盗报警系统、货运检查、检索系统、门禁管理系统、消防系统、现场管理系统、货物跟踪管理系统、仓储设施的自动化管理系统等。</w:t>
      </w:r>
    </w:p>
    <w:p w:rsidR="006D75C9" w:rsidRDefault="000B15B3">
      <w:pPr>
        <w:pStyle w:val="3"/>
        <w:numPr>
          <w:ilvl w:val="0"/>
          <w:numId w:val="12"/>
        </w:numPr>
        <w:ind w:left="0" w:firstLineChars="200" w:firstLine="562"/>
      </w:pPr>
      <w:r>
        <w:rPr>
          <w:rFonts w:hint="eastAsia"/>
        </w:rPr>
        <w:t>车辆调度和安全保障信息系统</w:t>
      </w:r>
    </w:p>
    <w:p w:rsidR="006D75C9" w:rsidRDefault="000B15B3">
      <w:pPr>
        <w:pStyle w:val="11"/>
        <w:ind w:firstLine="560"/>
        <w:rPr>
          <w:spacing w:val="0"/>
        </w:rPr>
      </w:pPr>
      <w:r>
        <w:rPr>
          <w:rFonts w:hint="eastAsia"/>
          <w:spacing w:val="0"/>
        </w:rPr>
        <w:t>车辆调度和安全保障信息系统主要是通过在车辆内安装</w:t>
      </w:r>
      <w:r>
        <w:rPr>
          <w:rFonts w:hint="eastAsia"/>
          <w:spacing w:val="0"/>
        </w:rPr>
        <w:t>GPS</w:t>
      </w:r>
      <w:r>
        <w:rPr>
          <w:rFonts w:hint="eastAsia"/>
          <w:spacing w:val="0"/>
        </w:rPr>
        <w:t>车载单元和双向通讯设备，实现车辆自动定位，并将定位信息发送给调度中心，使其能够实时监测车辆的运行状态，并向车辆发布各种指令。当遇到交通堵塞、交通事故，或者发生抢劫、火灾、故障等紧急情况时，可向调度中心发出相应的呼救信息，或由调度中心根据定位信息判断车辆可能发生意外，便于与公安、急救中心迅速联系，作为快速反应，确保车辆、货物安全。</w:t>
      </w:r>
    </w:p>
    <w:p w:rsidR="006D75C9" w:rsidRDefault="000B15B3">
      <w:pPr>
        <w:pStyle w:val="3"/>
        <w:numPr>
          <w:ilvl w:val="0"/>
          <w:numId w:val="12"/>
        </w:numPr>
        <w:ind w:left="0" w:firstLineChars="200" w:firstLine="562"/>
      </w:pPr>
      <w:r>
        <w:rPr>
          <w:rFonts w:hint="eastAsia"/>
        </w:rPr>
        <w:t>公众信息服务系统</w:t>
      </w:r>
    </w:p>
    <w:p w:rsidR="006D75C9" w:rsidRDefault="000B15B3">
      <w:pPr>
        <w:pStyle w:val="11"/>
        <w:ind w:firstLine="560"/>
        <w:rPr>
          <w:spacing w:val="0"/>
        </w:rPr>
      </w:pPr>
      <w:r>
        <w:rPr>
          <w:rFonts w:hint="eastAsia"/>
          <w:spacing w:val="0"/>
        </w:rPr>
        <w:t>面对广大运输消费者，主要包括公众信息网站和呼叫中心。公众信息网站是指过建立信息网站，为大众提供获取信息的渠道，也为公路枢纽内各站场利用其它系统获取服务的接口，是一种宽泛的信息网络服务。它服务的内容可以包括方便货主、物流用户和企业查询运力信息、运价信息，查询企业的资质、诚信状况，办理网上货物交易，查询货物运送情况，办理货物运输手续等。呼叫中心是利用通信网和计算机的多项功能集成并与企业连为一体的综合信息服务系统，提供</w:t>
      </w:r>
      <w:r>
        <w:rPr>
          <w:rFonts w:hint="eastAsia"/>
          <w:spacing w:val="0"/>
        </w:rPr>
        <w:t>24</w:t>
      </w:r>
      <w:r>
        <w:rPr>
          <w:rFonts w:hint="eastAsia"/>
          <w:spacing w:val="0"/>
        </w:rPr>
        <w:t>小时不间断服务，允许用户自由选择语音、</w:t>
      </w:r>
      <w:r>
        <w:rPr>
          <w:rFonts w:hint="eastAsia"/>
          <w:spacing w:val="0"/>
        </w:rPr>
        <w:t>IP</w:t>
      </w:r>
      <w:r>
        <w:rPr>
          <w:rFonts w:hint="eastAsia"/>
          <w:spacing w:val="0"/>
        </w:rPr>
        <w:t>、电话</w:t>
      </w:r>
      <w:r>
        <w:rPr>
          <w:rFonts w:hint="eastAsia"/>
          <w:spacing w:val="0"/>
        </w:rPr>
        <w:t>/</w:t>
      </w:r>
      <w:r>
        <w:rPr>
          <w:rFonts w:hint="eastAsia"/>
          <w:spacing w:val="0"/>
        </w:rPr>
        <w:t>传真、电子</w:t>
      </w:r>
      <w:r>
        <w:rPr>
          <w:rFonts w:hint="eastAsia"/>
          <w:spacing w:val="0"/>
        </w:rPr>
        <w:t>/</w:t>
      </w:r>
      <w:r>
        <w:rPr>
          <w:rFonts w:hint="eastAsia"/>
          <w:spacing w:val="0"/>
        </w:rPr>
        <w:t>语音邮件、文字信息、视频信息等通信方式，满足用户各种信息服务需求。</w:t>
      </w:r>
    </w:p>
    <w:p w:rsidR="006D75C9" w:rsidRDefault="000B15B3">
      <w:pPr>
        <w:pStyle w:val="1"/>
      </w:pPr>
      <w:bookmarkStart w:id="28" w:name="_Toc430166405"/>
      <w:r>
        <w:rPr>
          <w:rFonts w:hint="eastAsia"/>
        </w:rPr>
        <w:lastRenderedPageBreak/>
        <w:t>第七章</w:t>
      </w:r>
      <w:r>
        <w:rPr>
          <w:rFonts w:hint="eastAsia"/>
        </w:rPr>
        <w:t xml:space="preserve">  </w:t>
      </w:r>
      <w:r>
        <w:rPr>
          <w:rFonts w:hint="eastAsia"/>
        </w:rPr>
        <w:t>实施方案和近期建设重点</w:t>
      </w:r>
      <w:bookmarkEnd w:id="28"/>
    </w:p>
    <w:p w:rsidR="006D75C9" w:rsidRDefault="000B15B3">
      <w:pPr>
        <w:pStyle w:val="2"/>
        <w:numPr>
          <w:ilvl w:val="1"/>
          <w:numId w:val="0"/>
        </w:numPr>
        <w:spacing w:beforeLines="200" w:before="480" w:afterLines="150" w:after="360"/>
        <w:jc w:val="center"/>
      </w:pPr>
      <w:bookmarkStart w:id="29" w:name="_Toc430166406"/>
      <w:r>
        <w:rPr>
          <w:rFonts w:hint="eastAsia"/>
        </w:rPr>
        <w:t>第一节</w:t>
      </w:r>
      <w:r>
        <w:rPr>
          <w:rFonts w:hint="eastAsia"/>
        </w:rPr>
        <w:t xml:space="preserve">  </w:t>
      </w:r>
      <w:r>
        <w:rPr>
          <w:rFonts w:hint="eastAsia"/>
        </w:rPr>
        <w:t>实施方案</w:t>
      </w:r>
      <w:bookmarkEnd w:id="29"/>
    </w:p>
    <w:p w:rsidR="006D75C9" w:rsidRDefault="000B15B3">
      <w:pPr>
        <w:pStyle w:val="11"/>
      </w:pPr>
      <w:r>
        <w:rPr>
          <w:rFonts w:hint="eastAsia"/>
        </w:rPr>
        <w:t>梅州国家公路运输枢纽本着“一次统筹规划，分期建设实施”的原则，按需求、按条件、按计划、按步骤组织实施，实施中注意远期需迁出或者放弃的场站在近期的合理使用问题，注意节约投资、节约资源。公路枢纽实施计划安排见表</w:t>
      </w:r>
      <w:r>
        <w:rPr>
          <w:rFonts w:hint="eastAsia"/>
        </w:rPr>
        <w:t>5</w:t>
      </w:r>
      <w:r>
        <w:rPr>
          <w:rFonts w:hint="eastAsia"/>
        </w:rPr>
        <w:t>。</w:t>
      </w:r>
    </w:p>
    <w:p w:rsidR="006D75C9" w:rsidRPr="00C854DA" w:rsidRDefault="006D75C9">
      <w:pPr>
        <w:pStyle w:val="11"/>
        <w:ind w:firstLine="460"/>
        <w:rPr>
          <w:sz w:val="21"/>
        </w:rPr>
      </w:pPr>
    </w:p>
    <w:p w:rsidR="006D75C9" w:rsidRDefault="000B15B3">
      <w:pPr>
        <w:pStyle w:val="a0"/>
      </w:pPr>
      <w:r>
        <w:rPr>
          <w:rFonts w:hint="eastAsia"/>
        </w:rPr>
        <w:t>梅州公路运输枢纽站场建设实施安排</w:t>
      </w:r>
    </w:p>
    <w:tbl>
      <w:tblPr>
        <w:tblW w:w="833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458"/>
        <w:gridCol w:w="459"/>
        <w:gridCol w:w="1655"/>
        <w:gridCol w:w="780"/>
        <w:gridCol w:w="1787"/>
        <w:gridCol w:w="1085"/>
        <w:gridCol w:w="1040"/>
        <w:gridCol w:w="1072"/>
      </w:tblGrid>
      <w:tr w:rsidR="00352601" w:rsidTr="00DB1DEF">
        <w:trPr>
          <w:trHeight w:val="851"/>
          <w:jc w:val="center"/>
        </w:trPr>
        <w:tc>
          <w:tcPr>
            <w:tcW w:w="458" w:type="dxa"/>
            <w:vAlign w:val="center"/>
          </w:tcPr>
          <w:p w:rsidR="00352601" w:rsidRDefault="00352601">
            <w:pPr>
              <w:pStyle w:val="af3"/>
              <w:rPr>
                <w:sz w:val="24"/>
                <w:szCs w:val="24"/>
              </w:rPr>
            </w:pPr>
            <w:r>
              <w:rPr>
                <w:rFonts w:hint="eastAsia"/>
                <w:sz w:val="24"/>
                <w:szCs w:val="24"/>
              </w:rPr>
              <w:t>类型</w:t>
            </w:r>
          </w:p>
        </w:tc>
        <w:tc>
          <w:tcPr>
            <w:tcW w:w="459" w:type="dxa"/>
            <w:vAlign w:val="center"/>
          </w:tcPr>
          <w:p w:rsidR="00352601" w:rsidRDefault="00352601">
            <w:pPr>
              <w:pStyle w:val="af3"/>
              <w:rPr>
                <w:sz w:val="24"/>
                <w:szCs w:val="24"/>
              </w:rPr>
            </w:pPr>
            <w:r>
              <w:rPr>
                <w:rFonts w:hint="eastAsia"/>
                <w:sz w:val="24"/>
                <w:szCs w:val="24"/>
              </w:rPr>
              <w:t>序号</w:t>
            </w:r>
          </w:p>
        </w:tc>
        <w:tc>
          <w:tcPr>
            <w:tcW w:w="1655" w:type="dxa"/>
            <w:vAlign w:val="center"/>
          </w:tcPr>
          <w:p w:rsidR="00352601" w:rsidRDefault="00352601">
            <w:pPr>
              <w:pStyle w:val="af3"/>
              <w:rPr>
                <w:sz w:val="24"/>
                <w:szCs w:val="24"/>
              </w:rPr>
            </w:pPr>
            <w:r>
              <w:rPr>
                <w:rFonts w:hint="eastAsia"/>
                <w:sz w:val="24"/>
                <w:szCs w:val="24"/>
              </w:rPr>
              <w:t>站场名称</w:t>
            </w:r>
          </w:p>
        </w:tc>
        <w:tc>
          <w:tcPr>
            <w:tcW w:w="780" w:type="dxa"/>
            <w:vAlign w:val="center"/>
          </w:tcPr>
          <w:p w:rsidR="00352601" w:rsidRDefault="00352601">
            <w:pPr>
              <w:pStyle w:val="af3"/>
              <w:rPr>
                <w:sz w:val="24"/>
                <w:szCs w:val="24"/>
              </w:rPr>
            </w:pPr>
            <w:r>
              <w:rPr>
                <w:rFonts w:hint="eastAsia"/>
                <w:sz w:val="24"/>
                <w:szCs w:val="24"/>
              </w:rPr>
              <w:t>建设</w:t>
            </w:r>
          </w:p>
          <w:p w:rsidR="00352601" w:rsidRDefault="00352601">
            <w:pPr>
              <w:pStyle w:val="af3"/>
              <w:rPr>
                <w:sz w:val="24"/>
                <w:szCs w:val="24"/>
              </w:rPr>
            </w:pPr>
            <w:r>
              <w:rPr>
                <w:rFonts w:hint="eastAsia"/>
                <w:sz w:val="24"/>
                <w:szCs w:val="24"/>
              </w:rPr>
              <w:t>性质</w:t>
            </w:r>
          </w:p>
        </w:tc>
        <w:tc>
          <w:tcPr>
            <w:tcW w:w="1787" w:type="dxa"/>
            <w:vAlign w:val="center"/>
          </w:tcPr>
          <w:p w:rsidR="00352601" w:rsidRDefault="00352601">
            <w:pPr>
              <w:pStyle w:val="af3"/>
              <w:rPr>
                <w:sz w:val="24"/>
                <w:szCs w:val="24"/>
              </w:rPr>
            </w:pPr>
            <w:r>
              <w:rPr>
                <w:rFonts w:hint="eastAsia"/>
                <w:sz w:val="24"/>
                <w:szCs w:val="24"/>
              </w:rPr>
              <w:t>控制土地规模</w:t>
            </w:r>
          </w:p>
          <w:p w:rsidR="00352601" w:rsidRDefault="00352601">
            <w:pPr>
              <w:pStyle w:val="af3"/>
              <w:rPr>
                <w:sz w:val="24"/>
                <w:szCs w:val="24"/>
              </w:rPr>
            </w:pPr>
            <w:r>
              <w:rPr>
                <w:rFonts w:hint="eastAsia"/>
                <w:sz w:val="24"/>
                <w:szCs w:val="24"/>
              </w:rPr>
              <w:t>（万平方米）</w:t>
            </w:r>
          </w:p>
        </w:tc>
        <w:tc>
          <w:tcPr>
            <w:tcW w:w="1085" w:type="dxa"/>
            <w:vAlign w:val="center"/>
          </w:tcPr>
          <w:p w:rsidR="00352601" w:rsidRDefault="00352601">
            <w:pPr>
              <w:pStyle w:val="af3"/>
              <w:rPr>
                <w:sz w:val="24"/>
                <w:szCs w:val="24"/>
              </w:rPr>
            </w:pPr>
            <w:r>
              <w:rPr>
                <w:rFonts w:hint="eastAsia"/>
                <w:sz w:val="24"/>
                <w:szCs w:val="24"/>
              </w:rPr>
              <w:t>2011</w:t>
            </w:r>
            <w:r>
              <w:rPr>
                <w:rFonts w:hint="eastAsia"/>
                <w:sz w:val="24"/>
                <w:szCs w:val="24"/>
              </w:rPr>
              <w:t>～</w:t>
            </w:r>
            <w:r>
              <w:rPr>
                <w:rFonts w:hint="eastAsia"/>
                <w:sz w:val="24"/>
                <w:szCs w:val="24"/>
              </w:rPr>
              <w:t>2015</w:t>
            </w:r>
          </w:p>
        </w:tc>
        <w:tc>
          <w:tcPr>
            <w:tcW w:w="1040" w:type="dxa"/>
            <w:vAlign w:val="center"/>
          </w:tcPr>
          <w:p w:rsidR="00352601" w:rsidRDefault="00352601">
            <w:pPr>
              <w:pStyle w:val="af3"/>
              <w:rPr>
                <w:sz w:val="24"/>
                <w:szCs w:val="24"/>
              </w:rPr>
            </w:pPr>
            <w:r>
              <w:rPr>
                <w:rFonts w:hint="eastAsia"/>
                <w:sz w:val="24"/>
                <w:szCs w:val="24"/>
              </w:rPr>
              <w:t>2016</w:t>
            </w:r>
            <w:r>
              <w:rPr>
                <w:rFonts w:hint="eastAsia"/>
                <w:sz w:val="24"/>
                <w:szCs w:val="24"/>
              </w:rPr>
              <w:t>～</w:t>
            </w:r>
            <w:r>
              <w:rPr>
                <w:rFonts w:hint="eastAsia"/>
                <w:sz w:val="24"/>
                <w:szCs w:val="24"/>
              </w:rPr>
              <w:t>2020</w:t>
            </w:r>
          </w:p>
        </w:tc>
        <w:tc>
          <w:tcPr>
            <w:tcW w:w="1072" w:type="dxa"/>
            <w:vAlign w:val="center"/>
          </w:tcPr>
          <w:p w:rsidR="00352601" w:rsidRDefault="00352601" w:rsidP="00352601">
            <w:pPr>
              <w:pStyle w:val="af3"/>
              <w:rPr>
                <w:sz w:val="24"/>
                <w:szCs w:val="24"/>
              </w:rPr>
            </w:pPr>
            <w:r>
              <w:rPr>
                <w:rFonts w:hint="eastAsia"/>
                <w:sz w:val="24"/>
                <w:szCs w:val="24"/>
              </w:rPr>
              <w:t>2020</w:t>
            </w:r>
            <w:r>
              <w:rPr>
                <w:rFonts w:hint="eastAsia"/>
                <w:sz w:val="24"/>
                <w:szCs w:val="24"/>
              </w:rPr>
              <w:t>～</w:t>
            </w:r>
            <w:r>
              <w:rPr>
                <w:rFonts w:hint="eastAsia"/>
                <w:sz w:val="24"/>
                <w:szCs w:val="24"/>
              </w:rPr>
              <w:t>2030</w:t>
            </w:r>
          </w:p>
        </w:tc>
      </w:tr>
      <w:tr w:rsidR="00352601" w:rsidTr="00DB1DEF">
        <w:trPr>
          <w:trHeight w:val="794"/>
          <w:jc w:val="center"/>
        </w:trPr>
        <w:tc>
          <w:tcPr>
            <w:tcW w:w="458" w:type="dxa"/>
            <w:vMerge w:val="restart"/>
            <w:vAlign w:val="center"/>
          </w:tcPr>
          <w:p w:rsidR="00352601" w:rsidRDefault="00352601">
            <w:pPr>
              <w:pStyle w:val="af3"/>
              <w:rPr>
                <w:b/>
                <w:sz w:val="24"/>
                <w:szCs w:val="24"/>
              </w:rPr>
            </w:pPr>
            <w:r>
              <w:rPr>
                <w:rFonts w:hint="eastAsia"/>
                <w:b/>
                <w:sz w:val="24"/>
                <w:szCs w:val="24"/>
              </w:rPr>
              <w:t>客运站场</w:t>
            </w:r>
          </w:p>
        </w:tc>
        <w:tc>
          <w:tcPr>
            <w:tcW w:w="459" w:type="dxa"/>
            <w:vAlign w:val="center"/>
          </w:tcPr>
          <w:p w:rsidR="00352601" w:rsidRDefault="00352601">
            <w:pPr>
              <w:pStyle w:val="af3"/>
              <w:rPr>
                <w:sz w:val="24"/>
                <w:szCs w:val="24"/>
              </w:rPr>
            </w:pPr>
            <w:r>
              <w:rPr>
                <w:rFonts w:hint="eastAsia"/>
                <w:sz w:val="24"/>
                <w:szCs w:val="24"/>
              </w:rPr>
              <w:t>1</w:t>
            </w:r>
          </w:p>
        </w:tc>
        <w:tc>
          <w:tcPr>
            <w:tcW w:w="1655" w:type="dxa"/>
            <w:vAlign w:val="center"/>
          </w:tcPr>
          <w:p w:rsidR="00352601" w:rsidRDefault="00352601">
            <w:pPr>
              <w:pStyle w:val="af3"/>
              <w:rPr>
                <w:sz w:val="24"/>
                <w:szCs w:val="24"/>
              </w:rPr>
            </w:pPr>
            <w:r>
              <w:rPr>
                <w:rFonts w:hint="eastAsia"/>
                <w:sz w:val="24"/>
                <w:szCs w:val="24"/>
              </w:rPr>
              <w:t>梅州综合</w:t>
            </w:r>
          </w:p>
          <w:p w:rsidR="00352601" w:rsidRDefault="00352601">
            <w:pPr>
              <w:pStyle w:val="af3"/>
              <w:rPr>
                <w:sz w:val="24"/>
                <w:szCs w:val="24"/>
              </w:rPr>
            </w:pPr>
            <w:r>
              <w:rPr>
                <w:rFonts w:hint="eastAsia"/>
                <w:sz w:val="24"/>
                <w:szCs w:val="24"/>
              </w:rPr>
              <w:t>客运枢纽站</w:t>
            </w:r>
          </w:p>
        </w:tc>
        <w:tc>
          <w:tcPr>
            <w:tcW w:w="780" w:type="dxa"/>
            <w:vAlign w:val="center"/>
          </w:tcPr>
          <w:p w:rsidR="00352601" w:rsidRDefault="00352601">
            <w:pPr>
              <w:pStyle w:val="af3"/>
              <w:rPr>
                <w:b/>
                <w:sz w:val="24"/>
                <w:szCs w:val="24"/>
              </w:rPr>
            </w:pPr>
            <w:r>
              <w:rPr>
                <w:rFonts w:hint="eastAsia"/>
                <w:sz w:val="24"/>
                <w:szCs w:val="24"/>
              </w:rPr>
              <w:t>新建</w:t>
            </w:r>
          </w:p>
        </w:tc>
        <w:tc>
          <w:tcPr>
            <w:tcW w:w="1787" w:type="dxa"/>
            <w:vAlign w:val="center"/>
          </w:tcPr>
          <w:p w:rsidR="00352601" w:rsidRDefault="00352601">
            <w:pPr>
              <w:pStyle w:val="af3"/>
              <w:rPr>
                <w:sz w:val="24"/>
                <w:szCs w:val="24"/>
              </w:rPr>
            </w:pPr>
            <w:r>
              <w:rPr>
                <w:rFonts w:hint="eastAsia"/>
                <w:sz w:val="24"/>
                <w:szCs w:val="24"/>
              </w:rPr>
              <w:t>4.63</w:t>
            </w:r>
          </w:p>
        </w:tc>
        <w:tc>
          <w:tcPr>
            <w:tcW w:w="1085" w:type="dxa"/>
            <w:vAlign w:val="center"/>
          </w:tcPr>
          <w:p w:rsidR="00352601" w:rsidRDefault="00352601">
            <w:pPr>
              <w:pStyle w:val="af3"/>
              <w:rPr>
                <w:sz w:val="24"/>
                <w:szCs w:val="24"/>
              </w:rPr>
            </w:pPr>
          </w:p>
        </w:tc>
        <w:tc>
          <w:tcPr>
            <w:tcW w:w="1040" w:type="dxa"/>
            <w:vAlign w:val="center"/>
          </w:tcPr>
          <w:p w:rsidR="00352601" w:rsidRDefault="00352601">
            <w:pPr>
              <w:pStyle w:val="af3"/>
              <w:rPr>
                <w:sz w:val="24"/>
                <w:szCs w:val="24"/>
              </w:rPr>
            </w:pPr>
            <w:r>
              <w:rPr>
                <w:rFonts w:ascii="宋体" w:hAnsi="宋体" w:hint="eastAsia"/>
                <w:sz w:val="24"/>
                <w:szCs w:val="24"/>
              </w:rPr>
              <w:t>√</w:t>
            </w:r>
          </w:p>
        </w:tc>
        <w:tc>
          <w:tcPr>
            <w:tcW w:w="1072" w:type="dxa"/>
            <w:vAlign w:val="center"/>
          </w:tcPr>
          <w:p w:rsidR="00352601" w:rsidRDefault="00352601" w:rsidP="00352601">
            <w:pPr>
              <w:pStyle w:val="af3"/>
              <w:rPr>
                <w:rFonts w:ascii="宋体" w:hAnsi="宋体"/>
                <w:sz w:val="24"/>
                <w:szCs w:val="24"/>
              </w:rPr>
            </w:pPr>
          </w:p>
        </w:tc>
      </w:tr>
      <w:tr w:rsidR="00352601" w:rsidTr="00DB1DEF">
        <w:trPr>
          <w:trHeight w:val="794"/>
          <w:jc w:val="center"/>
        </w:trPr>
        <w:tc>
          <w:tcPr>
            <w:tcW w:w="458" w:type="dxa"/>
            <w:vMerge/>
            <w:vAlign w:val="center"/>
          </w:tcPr>
          <w:p w:rsidR="00352601" w:rsidRDefault="00352601">
            <w:pPr>
              <w:pStyle w:val="af3"/>
              <w:rPr>
                <w:b/>
                <w:sz w:val="24"/>
                <w:szCs w:val="24"/>
              </w:rPr>
            </w:pPr>
          </w:p>
        </w:tc>
        <w:tc>
          <w:tcPr>
            <w:tcW w:w="459" w:type="dxa"/>
            <w:vAlign w:val="center"/>
          </w:tcPr>
          <w:p w:rsidR="00352601" w:rsidRDefault="00352601">
            <w:pPr>
              <w:pStyle w:val="af3"/>
              <w:rPr>
                <w:sz w:val="24"/>
                <w:szCs w:val="24"/>
              </w:rPr>
            </w:pPr>
            <w:r>
              <w:rPr>
                <w:rFonts w:hint="eastAsia"/>
                <w:sz w:val="24"/>
                <w:szCs w:val="24"/>
              </w:rPr>
              <w:t>2</w:t>
            </w:r>
          </w:p>
        </w:tc>
        <w:tc>
          <w:tcPr>
            <w:tcW w:w="1655" w:type="dxa"/>
            <w:vAlign w:val="center"/>
          </w:tcPr>
          <w:p w:rsidR="00352601" w:rsidRDefault="00352601">
            <w:pPr>
              <w:pStyle w:val="af3"/>
              <w:rPr>
                <w:sz w:val="24"/>
                <w:szCs w:val="24"/>
              </w:rPr>
            </w:pPr>
            <w:r>
              <w:rPr>
                <w:rFonts w:hint="eastAsia"/>
                <w:sz w:val="24"/>
                <w:szCs w:val="24"/>
              </w:rPr>
              <w:t>梅州西综合</w:t>
            </w:r>
          </w:p>
          <w:p w:rsidR="00352601" w:rsidRDefault="00352601">
            <w:pPr>
              <w:pStyle w:val="af3"/>
              <w:rPr>
                <w:sz w:val="24"/>
                <w:szCs w:val="24"/>
              </w:rPr>
            </w:pPr>
            <w:r>
              <w:rPr>
                <w:rFonts w:hint="eastAsia"/>
                <w:sz w:val="24"/>
                <w:szCs w:val="24"/>
              </w:rPr>
              <w:t>客运枢纽站</w:t>
            </w:r>
          </w:p>
        </w:tc>
        <w:tc>
          <w:tcPr>
            <w:tcW w:w="780" w:type="dxa"/>
            <w:vAlign w:val="center"/>
          </w:tcPr>
          <w:p w:rsidR="00352601" w:rsidRDefault="00352601">
            <w:pPr>
              <w:pStyle w:val="af3"/>
              <w:rPr>
                <w:sz w:val="24"/>
                <w:szCs w:val="24"/>
              </w:rPr>
            </w:pPr>
            <w:r>
              <w:rPr>
                <w:rFonts w:hint="eastAsia"/>
                <w:sz w:val="24"/>
                <w:szCs w:val="24"/>
              </w:rPr>
              <w:t>新建</w:t>
            </w:r>
          </w:p>
        </w:tc>
        <w:tc>
          <w:tcPr>
            <w:tcW w:w="1787" w:type="dxa"/>
            <w:vAlign w:val="center"/>
          </w:tcPr>
          <w:p w:rsidR="00352601" w:rsidRDefault="00352601">
            <w:pPr>
              <w:pStyle w:val="af3"/>
              <w:rPr>
                <w:sz w:val="24"/>
                <w:szCs w:val="24"/>
              </w:rPr>
            </w:pPr>
            <w:r>
              <w:rPr>
                <w:rFonts w:hint="eastAsia"/>
                <w:sz w:val="24"/>
                <w:szCs w:val="24"/>
              </w:rPr>
              <w:t>5</w:t>
            </w:r>
          </w:p>
        </w:tc>
        <w:tc>
          <w:tcPr>
            <w:tcW w:w="1085" w:type="dxa"/>
            <w:vAlign w:val="center"/>
          </w:tcPr>
          <w:p w:rsidR="00352601" w:rsidRDefault="00352601">
            <w:pPr>
              <w:pStyle w:val="af3"/>
              <w:rPr>
                <w:sz w:val="24"/>
                <w:szCs w:val="24"/>
              </w:rPr>
            </w:pPr>
          </w:p>
        </w:tc>
        <w:tc>
          <w:tcPr>
            <w:tcW w:w="1040" w:type="dxa"/>
            <w:vAlign w:val="center"/>
          </w:tcPr>
          <w:p w:rsidR="00352601" w:rsidRDefault="00352601">
            <w:pPr>
              <w:pStyle w:val="af3"/>
              <w:rPr>
                <w:sz w:val="24"/>
                <w:szCs w:val="24"/>
              </w:rPr>
            </w:pPr>
            <w:r>
              <w:rPr>
                <w:rFonts w:ascii="宋体" w:hAnsi="宋体" w:hint="eastAsia"/>
                <w:sz w:val="24"/>
                <w:szCs w:val="24"/>
              </w:rPr>
              <w:t>√</w:t>
            </w:r>
          </w:p>
        </w:tc>
        <w:tc>
          <w:tcPr>
            <w:tcW w:w="1072" w:type="dxa"/>
            <w:vAlign w:val="center"/>
          </w:tcPr>
          <w:p w:rsidR="00352601" w:rsidRDefault="00352601" w:rsidP="00352601">
            <w:pPr>
              <w:pStyle w:val="af3"/>
              <w:rPr>
                <w:rFonts w:ascii="宋体" w:hAnsi="宋体"/>
                <w:sz w:val="24"/>
                <w:szCs w:val="24"/>
              </w:rPr>
            </w:pPr>
          </w:p>
        </w:tc>
      </w:tr>
      <w:tr w:rsidR="00352601" w:rsidTr="00DB1DEF">
        <w:trPr>
          <w:trHeight w:val="794"/>
          <w:jc w:val="center"/>
        </w:trPr>
        <w:tc>
          <w:tcPr>
            <w:tcW w:w="458" w:type="dxa"/>
            <w:vMerge/>
            <w:vAlign w:val="center"/>
          </w:tcPr>
          <w:p w:rsidR="00352601" w:rsidRDefault="00352601">
            <w:pPr>
              <w:pStyle w:val="af3"/>
              <w:rPr>
                <w:b/>
                <w:sz w:val="24"/>
                <w:szCs w:val="24"/>
              </w:rPr>
            </w:pPr>
          </w:p>
        </w:tc>
        <w:tc>
          <w:tcPr>
            <w:tcW w:w="459" w:type="dxa"/>
            <w:vAlign w:val="center"/>
          </w:tcPr>
          <w:p w:rsidR="00352601" w:rsidRDefault="00352601">
            <w:pPr>
              <w:pStyle w:val="af3"/>
              <w:rPr>
                <w:sz w:val="24"/>
                <w:szCs w:val="24"/>
              </w:rPr>
            </w:pPr>
            <w:r>
              <w:rPr>
                <w:rFonts w:hint="eastAsia"/>
                <w:sz w:val="24"/>
                <w:szCs w:val="24"/>
              </w:rPr>
              <w:t>3</w:t>
            </w:r>
          </w:p>
        </w:tc>
        <w:tc>
          <w:tcPr>
            <w:tcW w:w="1655" w:type="dxa"/>
            <w:vAlign w:val="center"/>
          </w:tcPr>
          <w:p w:rsidR="00352601" w:rsidRDefault="00352601">
            <w:pPr>
              <w:pStyle w:val="af3"/>
              <w:rPr>
                <w:sz w:val="24"/>
                <w:szCs w:val="24"/>
              </w:rPr>
            </w:pPr>
            <w:r>
              <w:rPr>
                <w:rFonts w:hint="eastAsia"/>
                <w:sz w:val="24"/>
                <w:szCs w:val="24"/>
              </w:rPr>
              <w:t>梅州江北</w:t>
            </w:r>
          </w:p>
          <w:p w:rsidR="00352601" w:rsidRDefault="00352601">
            <w:pPr>
              <w:pStyle w:val="af3"/>
              <w:rPr>
                <w:sz w:val="24"/>
                <w:szCs w:val="24"/>
              </w:rPr>
            </w:pPr>
            <w:r>
              <w:rPr>
                <w:rFonts w:hint="eastAsia"/>
                <w:sz w:val="24"/>
                <w:szCs w:val="24"/>
              </w:rPr>
              <w:t>客运站</w:t>
            </w:r>
          </w:p>
        </w:tc>
        <w:tc>
          <w:tcPr>
            <w:tcW w:w="780" w:type="dxa"/>
            <w:vAlign w:val="center"/>
          </w:tcPr>
          <w:p w:rsidR="00352601" w:rsidRDefault="00352601">
            <w:pPr>
              <w:pStyle w:val="af3"/>
              <w:rPr>
                <w:sz w:val="24"/>
                <w:szCs w:val="24"/>
              </w:rPr>
            </w:pPr>
            <w:r>
              <w:rPr>
                <w:rFonts w:hint="eastAsia"/>
                <w:sz w:val="24"/>
                <w:szCs w:val="24"/>
              </w:rPr>
              <w:t>扩建</w:t>
            </w:r>
          </w:p>
        </w:tc>
        <w:tc>
          <w:tcPr>
            <w:tcW w:w="1787" w:type="dxa"/>
            <w:vAlign w:val="center"/>
          </w:tcPr>
          <w:p w:rsidR="00352601" w:rsidRDefault="00352601">
            <w:pPr>
              <w:pStyle w:val="af3"/>
              <w:rPr>
                <w:sz w:val="24"/>
                <w:szCs w:val="24"/>
              </w:rPr>
            </w:pPr>
            <w:r>
              <w:rPr>
                <w:rFonts w:hint="eastAsia"/>
                <w:sz w:val="24"/>
                <w:szCs w:val="24"/>
              </w:rPr>
              <w:t>3.6</w:t>
            </w:r>
          </w:p>
        </w:tc>
        <w:tc>
          <w:tcPr>
            <w:tcW w:w="1085" w:type="dxa"/>
            <w:vAlign w:val="center"/>
          </w:tcPr>
          <w:p w:rsidR="00352601" w:rsidRDefault="00352601">
            <w:pPr>
              <w:pStyle w:val="af3"/>
              <w:rPr>
                <w:sz w:val="24"/>
                <w:szCs w:val="24"/>
              </w:rPr>
            </w:pPr>
          </w:p>
        </w:tc>
        <w:tc>
          <w:tcPr>
            <w:tcW w:w="1040" w:type="dxa"/>
            <w:vAlign w:val="center"/>
          </w:tcPr>
          <w:p w:rsidR="00352601" w:rsidRDefault="00352601">
            <w:pPr>
              <w:pStyle w:val="af3"/>
              <w:rPr>
                <w:sz w:val="24"/>
                <w:szCs w:val="24"/>
              </w:rPr>
            </w:pPr>
            <w:r>
              <w:rPr>
                <w:rFonts w:ascii="宋体" w:hAnsi="宋体" w:hint="eastAsia"/>
                <w:sz w:val="24"/>
                <w:szCs w:val="24"/>
              </w:rPr>
              <w:t>√</w:t>
            </w:r>
          </w:p>
        </w:tc>
        <w:tc>
          <w:tcPr>
            <w:tcW w:w="1072" w:type="dxa"/>
            <w:vAlign w:val="center"/>
          </w:tcPr>
          <w:p w:rsidR="00352601" w:rsidRDefault="00352601" w:rsidP="00352601">
            <w:pPr>
              <w:pStyle w:val="af3"/>
              <w:rPr>
                <w:rFonts w:ascii="宋体" w:hAnsi="宋体"/>
                <w:sz w:val="24"/>
                <w:szCs w:val="24"/>
              </w:rPr>
            </w:pPr>
          </w:p>
        </w:tc>
      </w:tr>
      <w:tr w:rsidR="00352601" w:rsidTr="00DB1DEF">
        <w:trPr>
          <w:trHeight w:val="794"/>
          <w:jc w:val="center"/>
        </w:trPr>
        <w:tc>
          <w:tcPr>
            <w:tcW w:w="458" w:type="dxa"/>
            <w:vMerge/>
            <w:vAlign w:val="center"/>
          </w:tcPr>
          <w:p w:rsidR="00352601" w:rsidRDefault="00352601">
            <w:pPr>
              <w:pStyle w:val="af3"/>
              <w:rPr>
                <w:b/>
                <w:sz w:val="24"/>
                <w:szCs w:val="24"/>
              </w:rPr>
            </w:pPr>
          </w:p>
        </w:tc>
        <w:tc>
          <w:tcPr>
            <w:tcW w:w="459" w:type="dxa"/>
            <w:vAlign w:val="center"/>
          </w:tcPr>
          <w:p w:rsidR="00352601" w:rsidRDefault="00352601">
            <w:pPr>
              <w:pStyle w:val="af3"/>
              <w:rPr>
                <w:sz w:val="24"/>
                <w:szCs w:val="24"/>
              </w:rPr>
            </w:pPr>
            <w:r>
              <w:rPr>
                <w:rFonts w:hint="eastAsia"/>
                <w:sz w:val="24"/>
                <w:szCs w:val="24"/>
              </w:rPr>
              <w:t>4</w:t>
            </w:r>
          </w:p>
        </w:tc>
        <w:tc>
          <w:tcPr>
            <w:tcW w:w="1655" w:type="dxa"/>
            <w:vAlign w:val="center"/>
          </w:tcPr>
          <w:p w:rsidR="00352601" w:rsidRDefault="00352601">
            <w:pPr>
              <w:pStyle w:val="af3"/>
              <w:rPr>
                <w:sz w:val="24"/>
                <w:szCs w:val="24"/>
              </w:rPr>
            </w:pPr>
            <w:r>
              <w:rPr>
                <w:rFonts w:hint="eastAsia"/>
                <w:sz w:val="24"/>
                <w:szCs w:val="24"/>
              </w:rPr>
              <w:t>梅州金盘</w:t>
            </w:r>
          </w:p>
          <w:p w:rsidR="00352601" w:rsidRDefault="00352601">
            <w:pPr>
              <w:pStyle w:val="af3"/>
              <w:rPr>
                <w:sz w:val="24"/>
                <w:szCs w:val="24"/>
              </w:rPr>
            </w:pPr>
            <w:r>
              <w:rPr>
                <w:rFonts w:hint="eastAsia"/>
                <w:sz w:val="24"/>
                <w:szCs w:val="24"/>
              </w:rPr>
              <w:t>客运站</w:t>
            </w:r>
          </w:p>
        </w:tc>
        <w:tc>
          <w:tcPr>
            <w:tcW w:w="780" w:type="dxa"/>
            <w:vAlign w:val="center"/>
          </w:tcPr>
          <w:p w:rsidR="00352601" w:rsidRDefault="00352601">
            <w:pPr>
              <w:pStyle w:val="af3"/>
              <w:rPr>
                <w:sz w:val="24"/>
                <w:szCs w:val="24"/>
              </w:rPr>
            </w:pPr>
            <w:r>
              <w:rPr>
                <w:rFonts w:hint="eastAsia"/>
                <w:sz w:val="24"/>
                <w:szCs w:val="24"/>
              </w:rPr>
              <w:t>新建</w:t>
            </w:r>
          </w:p>
        </w:tc>
        <w:tc>
          <w:tcPr>
            <w:tcW w:w="1787" w:type="dxa"/>
            <w:vAlign w:val="center"/>
          </w:tcPr>
          <w:p w:rsidR="00352601" w:rsidRDefault="00352601">
            <w:pPr>
              <w:pStyle w:val="af3"/>
              <w:rPr>
                <w:sz w:val="24"/>
                <w:szCs w:val="24"/>
              </w:rPr>
            </w:pPr>
            <w:r>
              <w:rPr>
                <w:rFonts w:hint="eastAsia"/>
                <w:sz w:val="24"/>
                <w:szCs w:val="24"/>
              </w:rPr>
              <w:t>4.1</w:t>
            </w:r>
          </w:p>
        </w:tc>
        <w:tc>
          <w:tcPr>
            <w:tcW w:w="1085" w:type="dxa"/>
            <w:vAlign w:val="center"/>
          </w:tcPr>
          <w:p w:rsidR="00352601" w:rsidRDefault="00352601">
            <w:pPr>
              <w:pStyle w:val="af3"/>
              <w:rPr>
                <w:sz w:val="24"/>
                <w:szCs w:val="24"/>
              </w:rPr>
            </w:pPr>
          </w:p>
        </w:tc>
        <w:tc>
          <w:tcPr>
            <w:tcW w:w="1040" w:type="dxa"/>
            <w:vAlign w:val="center"/>
          </w:tcPr>
          <w:p w:rsidR="00352601" w:rsidRDefault="00352601">
            <w:pPr>
              <w:pStyle w:val="af3"/>
              <w:rPr>
                <w:sz w:val="24"/>
                <w:szCs w:val="24"/>
              </w:rPr>
            </w:pPr>
          </w:p>
        </w:tc>
        <w:tc>
          <w:tcPr>
            <w:tcW w:w="1072" w:type="dxa"/>
            <w:vAlign w:val="center"/>
          </w:tcPr>
          <w:p w:rsidR="00352601" w:rsidRDefault="00D612AA" w:rsidP="00352601">
            <w:pPr>
              <w:pStyle w:val="af3"/>
              <w:rPr>
                <w:sz w:val="24"/>
                <w:szCs w:val="24"/>
              </w:rPr>
            </w:pPr>
            <w:r>
              <w:rPr>
                <w:rFonts w:hint="eastAsia"/>
                <w:sz w:val="24"/>
                <w:szCs w:val="24"/>
              </w:rPr>
              <w:t>√</w:t>
            </w:r>
          </w:p>
        </w:tc>
      </w:tr>
      <w:tr w:rsidR="00352601" w:rsidTr="00DB1DEF">
        <w:trPr>
          <w:trHeight w:val="794"/>
          <w:jc w:val="center"/>
        </w:trPr>
        <w:tc>
          <w:tcPr>
            <w:tcW w:w="458" w:type="dxa"/>
            <w:vMerge/>
            <w:vAlign w:val="center"/>
          </w:tcPr>
          <w:p w:rsidR="00352601" w:rsidRDefault="00352601">
            <w:pPr>
              <w:pStyle w:val="af3"/>
              <w:rPr>
                <w:b/>
                <w:sz w:val="24"/>
                <w:szCs w:val="24"/>
              </w:rPr>
            </w:pPr>
          </w:p>
        </w:tc>
        <w:tc>
          <w:tcPr>
            <w:tcW w:w="459" w:type="dxa"/>
            <w:vAlign w:val="center"/>
          </w:tcPr>
          <w:p w:rsidR="00352601" w:rsidRDefault="00352601">
            <w:pPr>
              <w:pStyle w:val="af3"/>
              <w:rPr>
                <w:sz w:val="24"/>
                <w:szCs w:val="24"/>
              </w:rPr>
            </w:pPr>
            <w:r>
              <w:rPr>
                <w:rFonts w:hint="eastAsia"/>
                <w:sz w:val="24"/>
                <w:szCs w:val="24"/>
              </w:rPr>
              <w:t>5</w:t>
            </w:r>
          </w:p>
        </w:tc>
        <w:tc>
          <w:tcPr>
            <w:tcW w:w="1655" w:type="dxa"/>
            <w:vAlign w:val="center"/>
          </w:tcPr>
          <w:p w:rsidR="00352601" w:rsidRDefault="00352601">
            <w:pPr>
              <w:pStyle w:val="af3"/>
              <w:rPr>
                <w:sz w:val="24"/>
                <w:szCs w:val="24"/>
              </w:rPr>
            </w:pPr>
            <w:r>
              <w:rPr>
                <w:rFonts w:hint="eastAsia"/>
                <w:sz w:val="24"/>
                <w:szCs w:val="24"/>
              </w:rPr>
              <w:t>梅州畲江</w:t>
            </w:r>
          </w:p>
          <w:p w:rsidR="00352601" w:rsidRDefault="00352601">
            <w:pPr>
              <w:pStyle w:val="af3"/>
              <w:rPr>
                <w:sz w:val="24"/>
                <w:szCs w:val="24"/>
              </w:rPr>
            </w:pPr>
            <w:r>
              <w:rPr>
                <w:rFonts w:hint="eastAsia"/>
                <w:sz w:val="24"/>
                <w:szCs w:val="24"/>
              </w:rPr>
              <w:t>客运站</w:t>
            </w:r>
          </w:p>
        </w:tc>
        <w:tc>
          <w:tcPr>
            <w:tcW w:w="780" w:type="dxa"/>
            <w:vAlign w:val="center"/>
          </w:tcPr>
          <w:p w:rsidR="00352601" w:rsidRDefault="00352601">
            <w:pPr>
              <w:pStyle w:val="af3"/>
              <w:rPr>
                <w:sz w:val="24"/>
                <w:szCs w:val="24"/>
              </w:rPr>
            </w:pPr>
            <w:r>
              <w:rPr>
                <w:rFonts w:hint="eastAsia"/>
                <w:sz w:val="24"/>
                <w:szCs w:val="24"/>
              </w:rPr>
              <w:t>新建</w:t>
            </w:r>
          </w:p>
        </w:tc>
        <w:tc>
          <w:tcPr>
            <w:tcW w:w="1787" w:type="dxa"/>
            <w:vAlign w:val="center"/>
          </w:tcPr>
          <w:p w:rsidR="00352601" w:rsidRDefault="00352601">
            <w:pPr>
              <w:pStyle w:val="af3"/>
              <w:rPr>
                <w:sz w:val="24"/>
                <w:szCs w:val="24"/>
              </w:rPr>
            </w:pPr>
            <w:r>
              <w:rPr>
                <w:rFonts w:hint="eastAsia"/>
                <w:sz w:val="24"/>
                <w:szCs w:val="24"/>
              </w:rPr>
              <w:t>3.6</w:t>
            </w:r>
          </w:p>
        </w:tc>
        <w:tc>
          <w:tcPr>
            <w:tcW w:w="1085" w:type="dxa"/>
            <w:vAlign w:val="center"/>
          </w:tcPr>
          <w:p w:rsidR="00352601" w:rsidRDefault="00352601">
            <w:pPr>
              <w:pStyle w:val="af3"/>
              <w:rPr>
                <w:sz w:val="24"/>
                <w:szCs w:val="24"/>
              </w:rPr>
            </w:pPr>
            <w:r>
              <w:rPr>
                <w:rFonts w:ascii="宋体" w:hAnsi="宋体" w:hint="eastAsia"/>
                <w:sz w:val="24"/>
                <w:szCs w:val="24"/>
              </w:rPr>
              <w:t>√</w:t>
            </w:r>
          </w:p>
        </w:tc>
        <w:tc>
          <w:tcPr>
            <w:tcW w:w="1040" w:type="dxa"/>
            <w:vAlign w:val="center"/>
          </w:tcPr>
          <w:p w:rsidR="00352601" w:rsidRDefault="00352601">
            <w:pPr>
              <w:pStyle w:val="af3"/>
              <w:rPr>
                <w:rFonts w:ascii="宋体" w:hAnsi="宋体"/>
                <w:sz w:val="24"/>
                <w:szCs w:val="24"/>
              </w:rPr>
            </w:pPr>
          </w:p>
        </w:tc>
        <w:tc>
          <w:tcPr>
            <w:tcW w:w="1072" w:type="dxa"/>
            <w:vAlign w:val="center"/>
          </w:tcPr>
          <w:p w:rsidR="00352601" w:rsidRDefault="00352601" w:rsidP="00352601">
            <w:pPr>
              <w:pStyle w:val="af3"/>
              <w:rPr>
                <w:rFonts w:ascii="宋体" w:hAnsi="宋体"/>
                <w:sz w:val="24"/>
                <w:szCs w:val="24"/>
              </w:rPr>
            </w:pPr>
          </w:p>
        </w:tc>
      </w:tr>
      <w:tr w:rsidR="00352601" w:rsidTr="00DB1DEF">
        <w:trPr>
          <w:trHeight w:val="794"/>
          <w:jc w:val="center"/>
        </w:trPr>
        <w:tc>
          <w:tcPr>
            <w:tcW w:w="458" w:type="dxa"/>
            <w:vMerge w:val="restart"/>
            <w:vAlign w:val="center"/>
          </w:tcPr>
          <w:p w:rsidR="00352601" w:rsidRDefault="00352601">
            <w:pPr>
              <w:pStyle w:val="af3"/>
              <w:spacing w:beforeLines="10" w:before="24" w:afterLines="10" w:after="24"/>
              <w:rPr>
                <w:rFonts w:ascii="宋体" w:hAnsi="宋体"/>
                <w:b/>
                <w:sz w:val="24"/>
                <w:szCs w:val="24"/>
              </w:rPr>
            </w:pPr>
            <w:r>
              <w:rPr>
                <w:rFonts w:ascii="宋体" w:hAnsi="宋体" w:hint="eastAsia"/>
                <w:b/>
                <w:sz w:val="24"/>
                <w:szCs w:val="24"/>
              </w:rPr>
              <w:t>货运站场</w:t>
            </w:r>
          </w:p>
        </w:tc>
        <w:tc>
          <w:tcPr>
            <w:tcW w:w="459" w:type="dxa"/>
            <w:vAlign w:val="center"/>
          </w:tcPr>
          <w:p w:rsidR="00352601" w:rsidRDefault="00352601">
            <w:pPr>
              <w:pStyle w:val="af3"/>
              <w:rPr>
                <w:sz w:val="24"/>
                <w:szCs w:val="24"/>
              </w:rPr>
            </w:pPr>
            <w:r>
              <w:rPr>
                <w:rFonts w:hint="eastAsia"/>
                <w:sz w:val="24"/>
                <w:szCs w:val="24"/>
              </w:rPr>
              <w:t>6</w:t>
            </w:r>
          </w:p>
        </w:tc>
        <w:tc>
          <w:tcPr>
            <w:tcW w:w="1655" w:type="dxa"/>
            <w:vAlign w:val="center"/>
          </w:tcPr>
          <w:p w:rsidR="00352601" w:rsidRDefault="00352601">
            <w:pPr>
              <w:pStyle w:val="af3"/>
              <w:rPr>
                <w:rFonts w:ascii="宋体" w:hAnsi="宋体"/>
                <w:sz w:val="24"/>
                <w:szCs w:val="24"/>
              </w:rPr>
            </w:pPr>
            <w:r>
              <w:rPr>
                <w:rFonts w:ascii="宋体" w:hAnsi="宋体" w:hint="eastAsia"/>
                <w:sz w:val="24"/>
                <w:szCs w:val="24"/>
              </w:rPr>
              <w:t>梅州畲江</w:t>
            </w:r>
          </w:p>
          <w:p w:rsidR="00352601" w:rsidRDefault="00352601">
            <w:pPr>
              <w:pStyle w:val="af3"/>
              <w:rPr>
                <w:rFonts w:ascii="宋体" w:hAnsi="宋体"/>
                <w:sz w:val="24"/>
                <w:szCs w:val="24"/>
              </w:rPr>
            </w:pPr>
            <w:r>
              <w:rPr>
                <w:rFonts w:ascii="宋体" w:hAnsi="宋体" w:hint="eastAsia"/>
                <w:sz w:val="24"/>
                <w:szCs w:val="24"/>
              </w:rPr>
              <w:t>物流中心</w:t>
            </w:r>
          </w:p>
        </w:tc>
        <w:tc>
          <w:tcPr>
            <w:tcW w:w="780" w:type="dxa"/>
            <w:vAlign w:val="center"/>
          </w:tcPr>
          <w:p w:rsidR="00352601" w:rsidRDefault="00352601">
            <w:pPr>
              <w:jc w:val="center"/>
              <w:rPr>
                <w:sz w:val="24"/>
              </w:rPr>
            </w:pPr>
            <w:r>
              <w:rPr>
                <w:rFonts w:hint="eastAsia"/>
                <w:sz w:val="24"/>
              </w:rPr>
              <w:t>新建</w:t>
            </w:r>
          </w:p>
        </w:tc>
        <w:tc>
          <w:tcPr>
            <w:tcW w:w="1787" w:type="dxa"/>
            <w:vAlign w:val="center"/>
          </w:tcPr>
          <w:p w:rsidR="00352601" w:rsidRDefault="00352601">
            <w:pPr>
              <w:pStyle w:val="af3"/>
              <w:rPr>
                <w:sz w:val="24"/>
                <w:szCs w:val="24"/>
              </w:rPr>
            </w:pPr>
            <w:r>
              <w:rPr>
                <w:rFonts w:hint="eastAsia"/>
                <w:sz w:val="24"/>
                <w:szCs w:val="24"/>
              </w:rPr>
              <w:t>20</w:t>
            </w:r>
          </w:p>
        </w:tc>
        <w:tc>
          <w:tcPr>
            <w:tcW w:w="1085" w:type="dxa"/>
            <w:vAlign w:val="center"/>
          </w:tcPr>
          <w:p w:rsidR="00352601" w:rsidRDefault="00352601">
            <w:pPr>
              <w:pStyle w:val="af3"/>
              <w:rPr>
                <w:sz w:val="24"/>
                <w:szCs w:val="24"/>
              </w:rPr>
            </w:pPr>
          </w:p>
        </w:tc>
        <w:tc>
          <w:tcPr>
            <w:tcW w:w="1040" w:type="dxa"/>
            <w:vAlign w:val="center"/>
          </w:tcPr>
          <w:p w:rsidR="00352601" w:rsidRDefault="00352601">
            <w:pPr>
              <w:pStyle w:val="af3"/>
              <w:rPr>
                <w:rFonts w:ascii="宋体" w:hAnsi="宋体"/>
                <w:sz w:val="24"/>
                <w:szCs w:val="24"/>
              </w:rPr>
            </w:pPr>
            <w:r>
              <w:rPr>
                <w:rFonts w:ascii="宋体" w:hAnsi="宋体" w:hint="eastAsia"/>
                <w:sz w:val="24"/>
                <w:szCs w:val="24"/>
              </w:rPr>
              <w:t>√</w:t>
            </w:r>
          </w:p>
        </w:tc>
        <w:tc>
          <w:tcPr>
            <w:tcW w:w="1072" w:type="dxa"/>
            <w:vAlign w:val="center"/>
          </w:tcPr>
          <w:p w:rsidR="00352601" w:rsidRDefault="00352601" w:rsidP="00352601">
            <w:pPr>
              <w:pStyle w:val="af3"/>
              <w:rPr>
                <w:rFonts w:ascii="宋体" w:hAnsi="宋体"/>
                <w:sz w:val="24"/>
                <w:szCs w:val="24"/>
              </w:rPr>
            </w:pPr>
          </w:p>
        </w:tc>
      </w:tr>
      <w:tr w:rsidR="00352601" w:rsidTr="00DB1DEF">
        <w:trPr>
          <w:trHeight w:val="794"/>
          <w:jc w:val="center"/>
        </w:trPr>
        <w:tc>
          <w:tcPr>
            <w:tcW w:w="458" w:type="dxa"/>
            <w:vMerge/>
            <w:vAlign w:val="center"/>
          </w:tcPr>
          <w:p w:rsidR="00352601" w:rsidRDefault="00352601">
            <w:pPr>
              <w:pStyle w:val="af3"/>
              <w:spacing w:beforeLines="10" w:before="24" w:afterLines="10" w:after="24"/>
              <w:rPr>
                <w:rFonts w:ascii="宋体" w:hAnsi="宋体"/>
                <w:b/>
                <w:sz w:val="24"/>
                <w:szCs w:val="24"/>
              </w:rPr>
            </w:pPr>
          </w:p>
        </w:tc>
        <w:tc>
          <w:tcPr>
            <w:tcW w:w="459" w:type="dxa"/>
            <w:vAlign w:val="center"/>
          </w:tcPr>
          <w:p w:rsidR="00352601" w:rsidRDefault="00352601">
            <w:pPr>
              <w:pStyle w:val="af3"/>
              <w:rPr>
                <w:sz w:val="24"/>
                <w:szCs w:val="24"/>
              </w:rPr>
            </w:pPr>
            <w:r>
              <w:rPr>
                <w:rFonts w:hint="eastAsia"/>
                <w:sz w:val="24"/>
                <w:szCs w:val="24"/>
              </w:rPr>
              <w:t>7</w:t>
            </w:r>
          </w:p>
        </w:tc>
        <w:tc>
          <w:tcPr>
            <w:tcW w:w="1655" w:type="dxa"/>
            <w:vAlign w:val="center"/>
          </w:tcPr>
          <w:p w:rsidR="00352601" w:rsidRDefault="00352601">
            <w:pPr>
              <w:pStyle w:val="af3"/>
              <w:rPr>
                <w:rFonts w:ascii="宋体" w:hAnsi="宋体"/>
                <w:sz w:val="24"/>
                <w:szCs w:val="24"/>
              </w:rPr>
            </w:pPr>
            <w:r>
              <w:rPr>
                <w:rFonts w:ascii="宋体" w:hAnsi="宋体" w:hint="eastAsia"/>
                <w:sz w:val="24"/>
                <w:szCs w:val="24"/>
              </w:rPr>
              <w:t>梅州北</w:t>
            </w:r>
          </w:p>
          <w:p w:rsidR="00352601" w:rsidRDefault="00352601">
            <w:pPr>
              <w:pStyle w:val="af3"/>
              <w:rPr>
                <w:rFonts w:ascii="宋体" w:hAnsi="宋体"/>
                <w:sz w:val="24"/>
                <w:szCs w:val="24"/>
              </w:rPr>
            </w:pPr>
            <w:r>
              <w:rPr>
                <w:rFonts w:ascii="宋体" w:hAnsi="宋体" w:hint="eastAsia"/>
                <w:sz w:val="24"/>
                <w:szCs w:val="24"/>
              </w:rPr>
              <w:t>物流中心</w:t>
            </w:r>
          </w:p>
        </w:tc>
        <w:tc>
          <w:tcPr>
            <w:tcW w:w="780" w:type="dxa"/>
            <w:vAlign w:val="center"/>
          </w:tcPr>
          <w:p w:rsidR="00352601" w:rsidRDefault="00352601">
            <w:pPr>
              <w:jc w:val="center"/>
              <w:rPr>
                <w:sz w:val="24"/>
              </w:rPr>
            </w:pPr>
            <w:r>
              <w:rPr>
                <w:rFonts w:hint="eastAsia"/>
                <w:sz w:val="24"/>
              </w:rPr>
              <w:t>新建</w:t>
            </w:r>
          </w:p>
        </w:tc>
        <w:tc>
          <w:tcPr>
            <w:tcW w:w="1787" w:type="dxa"/>
            <w:vAlign w:val="center"/>
          </w:tcPr>
          <w:p w:rsidR="00352601" w:rsidRDefault="00352601">
            <w:pPr>
              <w:pStyle w:val="af3"/>
              <w:rPr>
                <w:sz w:val="24"/>
                <w:szCs w:val="24"/>
              </w:rPr>
            </w:pPr>
            <w:r>
              <w:rPr>
                <w:rFonts w:hint="eastAsia"/>
                <w:sz w:val="24"/>
                <w:szCs w:val="24"/>
              </w:rPr>
              <w:t>10</w:t>
            </w:r>
          </w:p>
        </w:tc>
        <w:tc>
          <w:tcPr>
            <w:tcW w:w="1085" w:type="dxa"/>
            <w:vAlign w:val="center"/>
          </w:tcPr>
          <w:p w:rsidR="00352601" w:rsidRDefault="00352601">
            <w:pPr>
              <w:pStyle w:val="af3"/>
              <w:rPr>
                <w:sz w:val="24"/>
                <w:szCs w:val="24"/>
              </w:rPr>
            </w:pPr>
          </w:p>
        </w:tc>
        <w:tc>
          <w:tcPr>
            <w:tcW w:w="1040" w:type="dxa"/>
            <w:vAlign w:val="center"/>
          </w:tcPr>
          <w:p w:rsidR="00352601" w:rsidRDefault="00352601">
            <w:pPr>
              <w:pStyle w:val="af3"/>
              <w:rPr>
                <w:rFonts w:ascii="宋体" w:hAnsi="宋体"/>
                <w:sz w:val="24"/>
                <w:szCs w:val="24"/>
              </w:rPr>
            </w:pPr>
            <w:r>
              <w:rPr>
                <w:rFonts w:ascii="宋体" w:hAnsi="宋体" w:hint="eastAsia"/>
                <w:sz w:val="24"/>
                <w:szCs w:val="24"/>
              </w:rPr>
              <w:t>√</w:t>
            </w:r>
          </w:p>
        </w:tc>
        <w:tc>
          <w:tcPr>
            <w:tcW w:w="1072" w:type="dxa"/>
            <w:vAlign w:val="center"/>
          </w:tcPr>
          <w:p w:rsidR="00352601" w:rsidRDefault="00352601" w:rsidP="00352601">
            <w:pPr>
              <w:pStyle w:val="af3"/>
              <w:rPr>
                <w:rFonts w:ascii="宋体" w:hAnsi="宋体"/>
                <w:sz w:val="24"/>
                <w:szCs w:val="24"/>
              </w:rPr>
            </w:pPr>
          </w:p>
        </w:tc>
      </w:tr>
      <w:tr w:rsidR="00352601" w:rsidTr="00DB1DEF">
        <w:trPr>
          <w:trHeight w:val="794"/>
          <w:jc w:val="center"/>
        </w:trPr>
        <w:tc>
          <w:tcPr>
            <w:tcW w:w="458" w:type="dxa"/>
            <w:vMerge/>
            <w:vAlign w:val="center"/>
          </w:tcPr>
          <w:p w:rsidR="00352601" w:rsidRDefault="00352601">
            <w:pPr>
              <w:pStyle w:val="af3"/>
              <w:spacing w:beforeLines="10" w:before="24" w:afterLines="10" w:after="24"/>
              <w:rPr>
                <w:rFonts w:ascii="宋体" w:hAnsi="宋体"/>
                <w:b/>
                <w:sz w:val="24"/>
                <w:szCs w:val="24"/>
              </w:rPr>
            </w:pPr>
          </w:p>
        </w:tc>
        <w:tc>
          <w:tcPr>
            <w:tcW w:w="459" w:type="dxa"/>
            <w:vAlign w:val="center"/>
          </w:tcPr>
          <w:p w:rsidR="00352601" w:rsidRDefault="00352601">
            <w:pPr>
              <w:pStyle w:val="af3"/>
              <w:rPr>
                <w:sz w:val="24"/>
                <w:szCs w:val="24"/>
              </w:rPr>
            </w:pPr>
            <w:r>
              <w:rPr>
                <w:rFonts w:hint="eastAsia"/>
                <w:sz w:val="24"/>
                <w:szCs w:val="24"/>
              </w:rPr>
              <w:t>8</w:t>
            </w:r>
          </w:p>
        </w:tc>
        <w:tc>
          <w:tcPr>
            <w:tcW w:w="1655" w:type="dxa"/>
            <w:vAlign w:val="center"/>
          </w:tcPr>
          <w:p w:rsidR="00352601" w:rsidRDefault="00352601">
            <w:pPr>
              <w:pStyle w:val="af3"/>
              <w:rPr>
                <w:rFonts w:ascii="宋体" w:hAnsi="宋体"/>
                <w:sz w:val="24"/>
                <w:szCs w:val="24"/>
              </w:rPr>
            </w:pPr>
            <w:r>
              <w:rPr>
                <w:rFonts w:ascii="宋体" w:hAnsi="宋体" w:hint="eastAsia"/>
                <w:sz w:val="24"/>
                <w:szCs w:val="24"/>
              </w:rPr>
              <w:t>梅州西</w:t>
            </w:r>
          </w:p>
          <w:p w:rsidR="00352601" w:rsidRDefault="00352601">
            <w:pPr>
              <w:pStyle w:val="af3"/>
              <w:rPr>
                <w:rFonts w:ascii="宋体" w:hAnsi="宋体"/>
                <w:sz w:val="24"/>
                <w:szCs w:val="24"/>
              </w:rPr>
            </w:pPr>
            <w:r>
              <w:rPr>
                <w:rFonts w:ascii="宋体" w:hAnsi="宋体" w:hint="eastAsia"/>
                <w:sz w:val="24"/>
                <w:szCs w:val="24"/>
              </w:rPr>
              <w:t>物流中心</w:t>
            </w:r>
          </w:p>
        </w:tc>
        <w:tc>
          <w:tcPr>
            <w:tcW w:w="780" w:type="dxa"/>
            <w:vAlign w:val="center"/>
          </w:tcPr>
          <w:p w:rsidR="00352601" w:rsidRDefault="00352601">
            <w:pPr>
              <w:jc w:val="center"/>
              <w:rPr>
                <w:sz w:val="24"/>
              </w:rPr>
            </w:pPr>
            <w:r>
              <w:rPr>
                <w:rFonts w:hint="eastAsia"/>
                <w:sz w:val="24"/>
              </w:rPr>
              <w:t>新建</w:t>
            </w:r>
          </w:p>
        </w:tc>
        <w:tc>
          <w:tcPr>
            <w:tcW w:w="1787" w:type="dxa"/>
            <w:vAlign w:val="center"/>
          </w:tcPr>
          <w:p w:rsidR="00352601" w:rsidRDefault="00352601">
            <w:pPr>
              <w:pStyle w:val="af3"/>
              <w:rPr>
                <w:sz w:val="24"/>
                <w:szCs w:val="24"/>
              </w:rPr>
            </w:pPr>
            <w:r>
              <w:rPr>
                <w:rFonts w:hint="eastAsia"/>
                <w:sz w:val="24"/>
                <w:szCs w:val="24"/>
              </w:rPr>
              <w:t>14.67</w:t>
            </w:r>
          </w:p>
        </w:tc>
        <w:tc>
          <w:tcPr>
            <w:tcW w:w="1085" w:type="dxa"/>
            <w:vAlign w:val="center"/>
          </w:tcPr>
          <w:p w:rsidR="00352601" w:rsidRDefault="00352601">
            <w:pPr>
              <w:pStyle w:val="af3"/>
              <w:rPr>
                <w:sz w:val="24"/>
                <w:szCs w:val="24"/>
              </w:rPr>
            </w:pPr>
          </w:p>
        </w:tc>
        <w:tc>
          <w:tcPr>
            <w:tcW w:w="1040" w:type="dxa"/>
            <w:vAlign w:val="center"/>
          </w:tcPr>
          <w:p w:rsidR="00352601" w:rsidRDefault="00352601">
            <w:pPr>
              <w:pStyle w:val="af3"/>
              <w:rPr>
                <w:rFonts w:ascii="宋体" w:hAnsi="宋体"/>
                <w:sz w:val="24"/>
                <w:szCs w:val="24"/>
              </w:rPr>
            </w:pPr>
          </w:p>
        </w:tc>
        <w:tc>
          <w:tcPr>
            <w:tcW w:w="1072" w:type="dxa"/>
            <w:vAlign w:val="center"/>
          </w:tcPr>
          <w:p w:rsidR="00352601" w:rsidRDefault="00D612AA" w:rsidP="00352601">
            <w:pPr>
              <w:pStyle w:val="af3"/>
              <w:rPr>
                <w:rFonts w:ascii="宋体" w:hAnsi="宋体"/>
                <w:sz w:val="24"/>
                <w:szCs w:val="24"/>
              </w:rPr>
            </w:pPr>
            <w:r>
              <w:rPr>
                <w:rFonts w:ascii="宋体" w:hAnsi="宋体" w:hint="eastAsia"/>
                <w:sz w:val="24"/>
                <w:szCs w:val="24"/>
              </w:rPr>
              <w:t>√</w:t>
            </w:r>
          </w:p>
        </w:tc>
      </w:tr>
    </w:tbl>
    <w:p w:rsidR="006D75C9" w:rsidRDefault="006D75C9"/>
    <w:p w:rsidR="006D75C9" w:rsidRDefault="006D75C9"/>
    <w:p w:rsidR="006D75C9" w:rsidRDefault="000B15B3">
      <w:pPr>
        <w:pStyle w:val="2"/>
        <w:numPr>
          <w:ilvl w:val="1"/>
          <w:numId w:val="0"/>
        </w:numPr>
        <w:spacing w:beforeLines="200" w:before="480" w:afterLines="150" w:after="360"/>
        <w:jc w:val="center"/>
      </w:pPr>
      <w:bookmarkStart w:id="30" w:name="_Toc430166407"/>
      <w:r>
        <w:rPr>
          <w:rFonts w:hint="eastAsia"/>
        </w:rPr>
        <w:lastRenderedPageBreak/>
        <w:t>第二节</w:t>
      </w:r>
      <w:r>
        <w:rPr>
          <w:rFonts w:hint="eastAsia"/>
        </w:rPr>
        <w:t xml:space="preserve">  </w:t>
      </w:r>
      <w:r>
        <w:rPr>
          <w:rFonts w:hint="eastAsia"/>
        </w:rPr>
        <w:t>近期建设重点项目</w:t>
      </w:r>
      <w:bookmarkEnd w:id="30"/>
    </w:p>
    <w:p w:rsidR="006D75C9" w:rsidRDefault="000B15B3">
      <w:pPr>
        <w:pStyle w:val="11"/>
      </w:pPr>
      <w:r>
        <w:rPr>
          <w:rFonts w:hint="eastAsia"/>
        </w:rPr>
        <w:t>为满足梅州逐步增长的运输需求，同时考虑到建设资金问题，梅州公路运输枢纽客货运场站立足于现有站场资源的整合与利用，“</w:t>
      </w:r>
      <w:r>
        <w:t>十</w:t>
      </w:r>
      <w:r>
        <w:rPr>
          <w:rFonts w:hint="eastAsia"/>
        </w:rPr>
        <w:t>三</w:t>
      </w:r>
      <w:r>
        <w:t>五</w:t>
      </w:r>
      <w:r>
        <w:rPr>
          <w:rFonts w:hint="eastAsia"/>
        </w:rPr>
        <w:t>”</w:t>
      </w:r>
      <w:r>
        <w:t>期间，</w:t>
      </w:r>
      <w:r>
        <w:rPr>
          <w:rFonts w:hint="eastAsia"/>
        </w:rPr>
        <w:t>客运枢纽立足于现有站场资源的整合与利用，重点新建梅州综合客运枢纽站、梅州西综合客运枢纽站，适时改扩建梅州江北客运站。梅州江北客运站的设计发送能力基本饱和后开始启动梅州金盘客运站的建设。货运枢纽重点建设梅州畲江物流中心，启动梅州北和梅州西物流中心的前期工作，重点在功能上要有所突破，在服务理念和服务内容上有所创新，从单一的装卸、仓储、运输环节转变为一个能够提供与工业企业原材料、产成品、生产过程等相关的增值服务的物流平台。</w:t>
      </w:r>
    </w:p>
    <w:p w:rsidR="006D75C9" w:rsidRDefault="000B15B3">
      <w:pPr>
        <w:pStyle w:val="1"/>
      </w:pPr>
      <w:r>
        <w:br w:type="page"/>
      </w:r>
      <w:bookmarkStart w:id="31" w:name="_Toc430166408"/>
      <w:r>
        <w:rPr>
          <w:rFonts w:hint="eastAsia"/>
        </w:rPr>
        <w:lastRenderedPageBreak/>
        <w:t>第八章</w:t>
      </w:r>
      <w:r>
        <w:rPr>
          <w:rFonts w:hint="eastAsia"/>
        </w:rPr>
        <w:t xml:space="preserve">  </w:t>
      </w:r>
      <w:r>
        <w:rPr>
          <w:rFonts w:hint="eastAsia"/>
        </w:rPr>
        <w:t>政策与措施</w:t>
      </w:r>
      <w:bookmarkEnd w:id="31"/>
    </w:p>
    <w:p w:rsidR="006D75C9" w:rsidRDefault="000B15B3">
      <w:pPr>
        <w:pStyle w:val="3"/>
        <w:numPr>
          <w:ilvl w:val="0"/>
          <w:numId w:val="13"/>
        </w:numPr>
        <w:ind w:left="0" w:firstLineChars="200" w:firstLine="562"/>
      </w:pPr>
      <w:r>
        <w:rPr>
          <w:rFonts w:hint="eastAsia"/>
        </w:rPr>
        <w:t>保证用地落实，实行用地优惠政策</w:t>
      </w:r>
    </w:p>
    <w:p w:rsidR="006D75C9" w:rsidRDefault="000B15B3">
      <w:pPr>
        <w:pStyle w:val="11"/>
      </w:pPr>
      <w:r>
        <w:rPr>
          <w:rFonts w:hint="eastAsia"/>
        </w:rPr>
        <w:t>土地问题是制约公路运输枢纽发展的重要因素，应切实保证规划中各枢纽站场建设用地的落实；在土地的征用中，根据其公益性或准公益性基础设施性质，在保证土地用途的前提下，给予政策优惠。</w:t>
      </w:r>
    </w:p>
    <w:p w:rsidR="006D75C9" w:rsidRDefault="000B15B3">
      <w:pPr>
        <w:pStyle w:val="3"/>
        <w:numPr>
          <w:ilvl w:val="0"/>
          <w:numId w:val="13"/>
        </w:numPr>
        <w:ind w:left="0" w:firstLineChars="200" w:firstLine="562"/>
      </w:pPr>
      <w:r>
        <w:rPr>
          <w:rFonts w:hint="eastAsia"/>
        </w:rPr>
        <w:t>加大枢纽建设投资力度，拓宽融资渠道</w:t>
      </w:r>
    </w:p>
    <w:p w:rsidR="006D75C9" w:rsidRDefault="000B15B3">
      <w:pPr>
        <w:pStyle w:val="11"/>
        <w:ind w:firstLine="560"/>
      </w:pPr>
      <w:r>
        <w:rPr>
          <w:rFonts w:hint="eastAsia"/>
          <w:spacing w:val="0"/>
        </w:rPr>
        <w:t>公路运输枢纽建设投资大、回报率较低，但社会公益特征明显，在建设过程中</w:t>
      </w:r>
      <w:r>
        <w:rPr>
          <w:rFonts w:hint="eastAsia"/>
        </w:rPr>
        <w:t>充分发挥市场资源配置作用，按照“谁投资、谁受益”的原则，多渠道筹措站场建设资金，鼓励和引导社会资金以合资、合作、联营等多种方式参与站场建设，弥补政府财政资金不足，最终形成以社会投资为主、国家投资为辅的站场建设投资体系，充分发挥运输管理部门对运输站场的市场监管作用。</w:t>
      </w:r>
    </w:p>
    <w:p w:rsidR="006D75C9" w:rsidRDefault="000B15B3">
      <w:pPr>
        <w:pStyle w:val="3"/>
        <w:numPr>
          <w:ilvl w:val="0"/>
          <w:numId w:val="13"/>
        </w:numPr>
        <w:ind w:left="0" w:firstLineChars="200" w:firstLine="562"/>
      </w:pPr>
      <w:r>
        <w:rPr>
          <w:rFonts w:hint="eastAsia"/>
        </w:rPr>
        <w:t>完善各项制度法规、加强政府监管力度</w:t>
      </w:r>
    </w:p>
    <w:p w:rsidR="006D75C9" w:rsidRDefault="000B15B3">
      <w:pPr>
        <w:pStyle w:val="11"/>
      </w:pPr>
      <w:r>
        <w:rPr>
          <w:rFonts w:hint="eastAsia"/>
        </w:rPr>
        <w:t>通过建立健全枢纽场站建设的必要法规、法令和各项规章制度，把公路枢纽的建设和管理纳入法制化轨道，做到有法可依、有令可行、有章可循。同时通过对运输站场企业的市场准入、价格以及服务质量和服务条件等方面活动的监管，维护公平竞争的市场环境，确保服务供给的公平性以及社会福利的最大化。</w:t>
      </w:r>
    </w:p>
    <w:sectPr w:rsidR="006D75C9">
      <w:pgSz w:w="11906" w:h="16838"/>
      <w:pgMar w:top="1531" w:right="1418" w:bottom="1474" w:left="1985" w:header="851" w:footer="851" w:gutter="0"/>
      <w:cols w:space="425"/>
      <w:docGrid w:linePitch="312" w:charSpace="6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7595" w:rsidRDefault="00AE7595">
      <w:r>
        <w:separator/>
      </w:r>
    </w:p>
  </w:endnote>
  <w:endnote w:type="continuationSeparator" w:id="0">
    <w:p w:rsidR="00AE7595" w:rsidRDefault="00AE7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华文仿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ˎ̥">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6F7" w:rsidRDefault="00D126F7">
    <w:pPr>
      <w:pStyle w:val="a9"/>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D126F7" w:rsidRDefault="00D126F7">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6F7" w:rsidRDefault="00D126F7">
    <w:pPr>
      <w:pStyle w:val="a9"/>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6F7" w:rsidRDefault="00D126F7">
    <w:pPr>
      <w:pStyle w:val="a9"/>
      <w:jc w:val="center"/>
    </w:pPr>
    <w:r>
      <w:rPr>
        <w:rStyle w:val="ad"/>
      </w:rPr>
      <w:fldChar w:fldCharType="begin"/>
    </w:r>
    <w:r>
      <w:rPr>
        <w:rStyle w:val="ad"/>
      </w:rPr>
      <w:instrText xml:space="preserve"> PAGE </w:instrText>
    </w:r>
    <w:r>
      <w:rPr>
        <w:rStyle w:val="ad"/>
      </w:rPr>
      <w:fldChar w:fldCharType="separate"/>
    </w:r>
    <w:r w:rsidR="004C1DEA">
      <w:rPr>
        <w:rStyle w:val="ad"/>
        <w:noProof/>
      </w:rPr>
      <w:t>8</w:t>
    </w:r>
    <w:r>
      <w:rPr>
        <w:rStyle w:val="ad"/>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7595" w:rsidRDefault="00AE7595">
      <w:r>
        <w:separator/>
      </w:r>
    </w:p>
  </w:footnote>
  <w:footnote w:type="continuationSeparator" w:id="0">
    <w:p w:rsidR="00AE7595" w:rsidRDefault="00AE75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6F7" w:rsidRDefault="00D126F7">
    <w:pPr>
      <w:pStyle w:val="aa"/>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6F7" w:rsidRDefault="00D126F7">
    <w:pPr>
      <w:pStyle w:val="aa"/>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044AA"/>
    <w:multiLevelType w:val="multilevel"/>
    <w:tmpl w:val="017044AA"/>
    <w:lvl w:ilvl="0">
      <w:start w:val="1"/>
      <w:numFmt w:val="japaneseCounting"/>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
    <w:nsid w:val="0E6D179D"/>
    <w:multiLevelType w:val="multilevel"/>
    <w:tmpl w:val="0E6D179D"/>
    <w:lvl w:ilvl="0">
      <w:start w:val="1"/>
      <w:numFmt w:val="decimal"/>
      <w:pStyle w:val="a"/>
      <w:lvlText w:val="图 %1"/>
      <w:lvlJc w:val="left"/>
      <w:pPr>
        <w:tabs>
          <w:tab w:val="left" w:pos="1134"/>
        </w:tabs>
        <w:ind w:left="0" w:firstLine="0"/>
      </w:pPr>
      <w:rPr>
        <w:rFonts w:hint="eastAsia"/>
      </w:rPr>
    </w:lvl>
    <w:lvl w:ilvl="1" w:tentative="1">
      <w:start w:val="1"/>
      <w:numFmt w:val="decimal"/>
      <w:suff w:val="nothing"/>
      <w:lvlText w:val="%1.%2  "/>
      <w:lvlJc w:val="left"/>
      <w:pPr>
        <w:ind w:left="1304" w:hanging="1304"/>
      </w:pPr>
      <w:rPr>
        <w:rFonts w:ascii="Century Gothic" w:eastAsia="黑体" w:hAnsi="Century Gothic" w:hint="default"/>
        <w:b w:val="0"/>
        <w:i w:val="0"/>
        <w:sz w:val="26"/>
        <w:szCs w:val="26"/>
      </w:rPr>
    </w:lvl>
    <w:lvl w:ilvl="2" w:tentative="1">
      <w:start w:val="1"/>
      <w:numFmt w:val="decimal"/>
      <w:suff w:val="nothing"/>
      <w:lvlText w:val="%1.%2.%3  "/>
      <w:lvlJc w:val="left"/>
      <w:pPr>
        <w:ind w:left="1304" w:hanging="1304"/>
      </w:pPr>
      <w:rPr>
        <w:rFonts w:ascii="Century Gothic" w:eastAsia="华文楷体" w:hAnsi="Century Gothic" w:hint="default"/>
        <w:b w:val="0"/>
        <w:i w:val="0"/>
        <w:sz w:val="26"/>
        <w:szCs w:val="26"/>
      </w:rPr>
    </w:lvl>
    <w:lvl w:ilvl="3" w:tentative="1">
      <w:start w:val="1"/>
      <w:numFmt w:val="decimal"/>
      <w:suff w:val="nothing"/>
      <w:lvlText w:val="%4.  "/>
      <w:lvlJc w:val="left"/>
      <w:pPr>
        <w:ind w:left="1304" w:hanging="1304"/>
      </w:pPr>
      <w:rPr>
        <w:rFonts w:ascii="Century Gothic" w:eastAsia="华文仿宋" w:hAnsi="Century Gothic" w:hint="default"/>
        <w:b w:val="0"/>
        <w:i w:val="0"/>
        <w:sz w:val="26"/>
        <w:szCs w:val="26"/>
      </w:rPr>
    </w:lvl>
    <w:lvl w:ilvl="4" w:tentative="1">
      <w:start w:val="1"/>
      <w:numFmt w:val="decimal"/>
      <w:suff w:val="nothing"/>
      <w:lvlText w:val=" (%5)  "/>
      <w:lvlJc w:val="left"/>
      <w:pPr>
        <w:ind w:left="1304" w:hanging="1304"/>
      </w:pPr>
      <w:rPr>
        <w:rFonts w:ascii="Century Gothic" w:hAnsi="Century Gothic" w:hint="default"/>
        <w:b w:val="0"/>
        <w:i w:val="0"/>
        <w:sz w:val="26"/>
        <w:szCs w:val="26"/>
      </w:rPr>
    </w:lvl>
    <w:lvl w:ilvl="5" w:tentative="1">
      <w:start w:val="1"/>
      <w:numFmt w:val="decimalEnclosedCircle"/>
      <w:suff w:val="nothing"/>
      <w:lvlText w:val="  %6   "/>
      <w:lvlJc w:val="left"/>
      <w:pPr>
        <w:ind w:left="1304" w:hanging="1304"/>
      </w:pPr>
      <w:rPr>
        <w:rFonts w:ascii="Century Gothic" w:hAnsi="Century Gothic" w:hint="default"/>
        <w:b w:val="0"/>
        <w:i w:val="0"/>
        <w:sz w:val="26"/>
        <w:szCs w:val="26"/>
      </w:rPr>
    </w:lvl>
    <w:lvl w:ilvl="6" w:tentative="1">
      <w:start w:val="1"/>
      <w:numFmt w:val="lowerRoman"/>
      <w:suff w:val="nothing"/>
      <w:lvlText w:val="%7   "/>
      <w:lvlJc w:val="left"/>
      <w:pPr>
        <w:ind w:left="1304" w:hanging="1304"/>
      </w:pPr>
      <w:rPr>
        <w:rFonts w:ascii="Century Gothic" w:hAnsi="Century Gothic" w:hint="default"/>
        <w:b w:val="0"/>
        <w:i w:val="0"/>
        <w:sz w:val="26"/>
        <w:szCs w:val="26"/>
      </w:rPr>
    </w:lvl>
    <w:lvl w:ilvl="7" w:tentative="1">
      <w:start w:val="1"/>
      <w:numFmt w:val="lowerRoman"/>
      <w:suff w:val="nothing"/>
      <w:lvlText w:val="(%8)     "/>
      <w:lvlJc w:val="left"/>
      <w:pPr>
        <w:ind w:left="1304" w:firstLine="567"/>
      </w:pPr>
      <w:rPr>
        <w:rFonts w:ascii="Century Gothic" w:hAnsi="Century Gothic" w:hint="default"/>
        <w:b w:val="0"/>
        <w:i w:val="0"/>
        <w:sz w:val="26"/>
        <w:szCs w:val="26"/>
      </w:rPr>
    </w:lvl>
    <w:lvl w:ilvl="8" w:tentative="1">
      <w:start w:val="1"/>
      <w:numFmt w:val="lowerLetter"/>
      <w:suff w:val="nothing"/>
      <w:lvlText w:val="%9    "/>
      <w:lvlJc w:val="left"/>
      <w:pPr>
        <w:ind w:left="1304" w:firstLine="680"/>
      </w:pPr>
      <w:rPr>
        <w:rFonts w:ascii="Century Gothic" w:hAnsi="Century Gothic" w:hint="default"/>
        <w:b w:val="0"/>
        <w:i w:val="0"/>
        <w:sz w:val="26"/>
        <w:szCs w:val="26"/>
      </w:rPr>
    </w:lvl>
  </w:abstractNum>
  <w:abstractNum w:abstractNumId="2">
    <w:nsid w:val="1732187F"/>
    <w:multiLevelType w:val="multilevel"/>
    <w:tmpl w:val="1732187F"/>
    <w:lvl w:ilvl="0">
      <w:start w:val="1"/>
      <w:numFmt w:val="bullet"/>
      <w:lvlText w:val=""/>
      <w:lvlJc w:val="left"/>
      <w:pPr>
        <w:tabs>
          <w:tab w:val="left" w:pos="940"/>
        </w:tabs>
        <w:ind w:left="940" w:hanging="420"/>
      </w:pPr>
      <w:rPr>
        <w:rFonts w:ascii="Wingdings" w:hAnsi="Wingdings" w:hint="default"/>
      </w:rPr>
    </w:lvl>
    <w:lvl w:ilvl="1" w:tentative="1">
      <w:start w:val="1"/>
      <w:numFmt w:val="bullet"/>
      <w:lvlText w:val=""/>
      <w:lvlJc w:val="left"/>
      <w:pPr>
        <w:tabs>
          <w:tab w:val="left" w:pos="1360"/>
        </w:tabs>
        <w:ind w:left="1360" w:hanging="420"/>
      </w:pPr>
      <w:rPr>
        <w:rFonts w:ascii="Wingdings" w:hAnsi="Wingdings" w:hint="default"/>
      </w:rPr>
    </w:lvl>
    <w:lvl w:ilvl="2" w:tentative="1">
      <w:start w:val="1"/>
      <w:numFmt w:val="bullet"/>
      <w:lvlText w:val=""/>
      <w:lvlJc w:val="left"/>
      <w:pPr>
        <w:tabs>
          <w:tab w:val="left" w:pos="1780"/>
        </w:tabs>
        <w:ind w:left="1780" w:hanging="420"/>
      </w:pPr>
      <w:rPr>
        <w:rFonts w:ascii="Wingdings" w:hAnsi="Wingdings" w:hint="default"/>
      </w:rPr>
    </w:lvl>
    <w:lvl w:ilvl="3" w:tentative="1">
      <w:start w:val="1"/>
      <w:numFmt w:val="bullet"/>
      <w:lvlText w:val=""/>
      <w:lvlJc w:val="left"/>
      <w:pPr>
        <w:tabs>
          <w:tab w:val="left" w:pos="2200"/>
        </w:tabs>
        <w:ind w:left="2200" w:hanging="420"/>
      </w:pPr>
      <w:rPr>
        <w:rFonts w:ascii="Wingdings" w:hAnsi="Wingdings" w:hint="default"/>
      </w:rPr>
    </w:lvl>
    <w:lvl w:ilvl="4" w:tentative="1">
      <w:start w:val="1"/>
      <w:numFmt w:val="bullet"/>
      <w:lvlText w:val=""/>
      <w:lvlJc w:val="left"/>
      <w:pPr>
        <w:tabs>
          <w:tab w:val="left" w:pos="2620"/>
        </w:tabs>
        <w:ind w:left="2620" w:hanging="420"/>
      </w:pPr>
      <w:rPr>
        <w:rFonts w:ascii="Wingdings" w:hAnsi="Wingdings" w:hint="default"/>
      </w:rPr>
    </w:lvl>
    <w:lvl w:ilvl="5" w:tentative="1">
      <w:start w:val="1"/>
      <w:numFmt w:val="bullet"/>
      <w:lvlText w:val=""/>
      <w:lvlJc w:val="left"/>
      <w:pPr>
        <w:tabs>
          <w:tab w:val="left" w:pos="3040"/>
        </w:tabs>
        <w:ind w:left="3040" w:hanging="420"/>
      </w:pPr>
      <w:rPr>
        <w:rFonts w:ascii="Wingdings" w:hAnsi="Wingdings" w:hint="default"/>
      </w:rPr>
    </w:lvl>
    <w:lvl w:ilvl="6" w:tentative="1">
      <w:start w:val="1"/>
      <w:numFmt w:val="bullet"/>
      <w:lvlText w:val=""/>
      <w:lvlJc w:val="left"/>
      <w:pPr>
        <w:tabs>
          <w:tab w:val="left" w:pos="3460"/>
        </w:tabs>
        <w:ind w:left="3460" w:hanging="420"/>
      </w:pPr>
      <w:rPr>
        <w:rFonts w:ascii="Wingdings" w:hAnsi="Wingdings" w:hint="default"/>
      </w:rPr>
    </w:lvl>
    <w:lvl w:ilvl="7" w:tentative="1">
      <w:start w:val="1"/>
      <w:numFmt w:val="bullet"/>
      <w:lvlText w:val=""/>
      <w:lvlJc w:val="left"/>
      <w:pPr>
        <w:tabs>
          <w:tab w:val="left" w:pos="3880"/>
        </w:tabs>
        <w:ind w:left="3880" w:hanging="420"/>
      </w:pPr>
      <w:rPr>
        <w:rFonts w:ascii="Wingdings" w:hAnsi="Wingdings" w:hint="default"/>
      </w:rPr>
    </w:lvl>
    <w:lvl w:ilvl="8" w:tentative="1">
      <w:start w:val="1"/>
      <w:numFmt w:val="bullet"/>
      <w:lvlText w:val=""/>
      <w:lvlJc w:val="left"/>
      <w:pPr>
        <w:tabs>
          <w:tab w:val="left" w:pos="4300"/>
        </w:tabs>
        <w:ind w:left="4300" w:hanging="420"/>
      </w:pPr>
      <w:rPr>
        <w:rFonts w:ascii="Wingdings" w:hAnsi="Wingdings" w:hint="default"/>
      </w:rPr>
    </w:lvl>
  </w:abstractNum>
  <w:abstractNum w:abstractNumId="3">
    <w:nsid w:val="19C60709"/>
    <w:multiLevelType w:val="multilevel"/>
    <w:tmpl w:val="19C60709"/>
    <w:lvl w:ilvl="0">
      <w:start w:val="1"/>
      <w:numFmt w:val="japaneseCounting"/>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
    <w:nsid w:val="29C35FCA"/>
    <w:multiLevelType w:val="multilevel"/>
    <w:tmpl w:val="29C35FCA"/>
    <w:lvl w:ilvl="0">
      <w:start w:val="1"/>
      <w:numFmt w:val="decimal"/>
      <w:pStyle w:val="a0"/>
      <w:lvlText w:val="表 %1   "/>
      <w:lvlJc w:val="left"/>
      <w:pPr>
        <w:tabs>
          <w:tab w:val="left" w:pos="1560"/>
        </w:tabs>
        <w:ind w:left="851" w:hanging="425"/>
      </w:pPr>
      <w:rPr>
        <w:rFonts w:hint="eastAsia"/>
      </w:rPr>
    </w:lvl>
    <w:lvl w:ilvl="1" w:tentative="1">
      <w:start w:val="1"/>
      <w:numFmt w:val="upperLetter"/>
      <w:lvlText w:val="%2."/>
      <w:lvlJc w:val="left"/>
      <w:pPr>
        <w:tabs>
          <w:tab w:val="left" w:pos="851"/>
        </w:tabs>
        <w:ind w:left="851" w:hanging="426"/>
      </w:pPr>
      <w:rPr>
        <w:rFonts w:hint="eastAsia"/>
      </w:rPr>
    </w:lvl>
    <w:lvl w:ilvl="2" w:tentative="1">
      <w:start w:val="1"/>
      <w:numFmt w:val="decimal"/>
      <w:lvlText w:val="%3."/>
      <w:lvlJc w:val="left"/>
      <w:pPr>
        <w:tabs>
          <w:tab w:val="left" w:pos="1276"/>
        </w:tabs>
        <w:ind w:left="1276" w:hanging="425"/>
      </w:pPr>
      <w:rPr>
        <w:rFonts w:hint="eastAsia"/>
      </w:rPr>
    </w:lvl>
    <w:lvl w:ilvl="3" w:tentative="1">
      <w:start w:val="1"/>
      <w:numFmt w:val="lowerLetter"/>
      <w:lvlText w:val="%4."/>
      <w:lvlJc w:val="left"/>
      <w:pPr>
        <w:tabs>
          <w:tab w:val="left" w:pos="1559"/>
        </w:tabs>
        <w:ind w:left="1559" w:hanging="283"/>
      </w:pPr>
      <w:rPr>
        <w:rFonts w:hint="eastAsia"/>
      </w:rPr>
    </w:lvl>
    <w:lvl w:ilvl="4" w:tentative="1">
      <w:start w:val="1"/>
      <w:numFmt w:val="decimal"/>
      <w:lvlText w:val="%5."/>
      <w:lvlJc w:val="left"/>
      <w:pPr>
        <w:tabs>
          <w:tab w:val="left" w:pos="1984"/>
        </w:tabs>
        <w:ind w:left="1984" w:hanging="425"/>
      </w:pPr>
      <w:rPr>
        <w:rFonts w:hint="eastAsia"/>
      </w:rPr>
    </w:lvl>
    <w:lvl w:ilvl="5" w:tentative="1">
      <w:start w:val="1"/>
      <w:numFmt w:val="lowerLetter"/>
      <w:lvlText w:val="%6."/>
      <w:lvlJc w:val="left"/>
      <w:pPr>
        <w:tabs>
          <w:tab w:val="left" w:pos="2409"/>
        </w:tabs>
        <w:ind w:left="2409" w:hanging="425"/>
      </w:pPr>
      <w:rPr>
        <w:rFonts w:hint="eastAsia"/>
      </w:rPr>
    </w:lvl>
    <w:lvl w:ilvl="6" w:tentative="1">
      <w:start w:val="1"/>
      <w:numFmt w:val="lowerRoman"/>
      <w:lvlText w:val="%7."/>
      <w:lvlJc w:val="left"/>
      <w:pPr>
        <w:tabs>
          <w:tab w:val="left" w:pos="2835"/>
        </w:tabs>
        <w:ind w:left="2835" w:hanging="426"/>
      </w:pPr>
      <w:rPr>
        <w:rFonts w:hint="eastAsia"/>
      </w:rPr>
    </w:lvl>
    <w:lvl w:ilvl="7" w:tentative="1">
      <w:start w:val="1"/>
      <w:numFmt w:val="lowerLetter"/>
      <w:lvlText w:val="%8."/>
      <w:lvlJc w:val="left"/>
      <w:pPr>
        <w:tabs>
          <w:tab w:val="left" w:pos="3260"/>
        </w:tabs>
        <w:ind w:left="3260" w:hanging="425"/>
      </w:pPr>
      <w:rPr>
        <w:rFonts w:hint="eastAsia"/>
      </w:rPr>
    </w:lvl>
    <w:lvl w:ilvl="8" w:tentative="1">
      <w:start w:val="1"/>
      <w:numFmt w:val="lowerRoman"/>
      <w:lvlText w:val="%9."/>
      <w:lvlJc w:val="left"/>
      <w:pPr>
        <w:tabs>
          <w:tab w:val="left" w:pos="3685"/>
        </w:tabs>
        <w:ind w:left="3685" w:hanging="425"/>
      </w:pPr>
      <w:rPr>
        <w:rFonts w:hint="eastAsia"/>
      </w:rPr>
    </w:lvl>
  </w:abstractNum>
  <w:abstractNum w:abstractNumId="5">
    <w:nsid w:val="2C8659CF"/>
    <w:multiLevelType w:val="multilevel"/>
    <w:tmpl w:val="2C8659CF"/>
    <w:lvl w:ilvl="0" w:tentative="1">
      <w:start w:val="1"/>
      <w:numFmt w:val="decimal"/>
      <w:lvlText w:val="%1."/>
      <w:lvlJc w:val="left"/>
      <w:pPr>
        <w:ind w:left="1020" w:hanging="420"/>
      </w:pPr>
      <w:rPr>
        <w:rFonts w:hint="eastAsia"/>
      </w:rPr>
    </w:lvl>
    <w:lvl w:ilvl="1">
      <w:start w:val="1"/>
      <w:numFmt w:val="decimal"/>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
    <w:nsid w:val="30F9738E"/>
    <w:multiLevelType w:val="multilevel"/>
    <w:tmpl w:val="30F9738E"/>
    <w:lvl w:ilvl="0">
      <w:start w:val="1"/>
      <w:numFmt w:val="japaneseCounting"/>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7">
    <w:nsid w:val="39FE7C3E"/>
    <w:multiLevelType w:val="multilevel"/>
    <w:tmpl w:val="39FE7C3E"/>
    <w:lvl w:ilvl="0" w:tentative="1">
      <w:start w:val="1"/>
      <w:numFmt w:val="chineseCountingThousand"/>
      <w:lvlText w:val="%1、"/>
      <w:lvlJc w:val="left"/>
      <w:pPr>
        <w:tabs>
          <w:tab w:val="left" w:pos="425"/>
        </w:tabs>
        <w:ind w:left="425" w:hanging="425"/>
      </w:pPr>
      <w:rPr>
        <w:rFonts w:hint="eastAsia"/>
        <w:lang w:val="en-US"/>
      </w:rPr>
    </w:lvl>
    <w:lvl w:ilvl="1" w:tentative="1">
      <w:start w:val="1"/>
      <w:numFmt w:val="chineseCountingThousand"/>
      <w:pStyle w:val="2"/>
      <w:lvlText w:val="（%2）"/>
      <w:lvlJc w:val="left"/>
      <w:pPr>
        <w:tabs>
          <w:tab w:val="left" w:pos="567"/>
        </w:tabs>
        <w:ind w:left="567" w:hanging="567"/>
      </w:pPr>
      <w:rPr>
        <w:rFonts w:hint="eastAsia"/>
      </w:rPr>
    </w:lvl>
    <w:lvl w:ilvl="2">
      <w:start w:val="1"/>
      <w:numFmt w:val="decimal"/>
      <w:pStyle w:val="3"/>
      <w:lvlText w:val="%3."/>
      <w:lvlJc w:val="left"/>
      <w:pPr>
        <w:tabs>
          <w:tab w:val="left" w:pos="709"/>
        </w:tabs>
        <w:ind w:left="709" w:hanging="709"/>
      </w:pPr>
      <w:rPr>
        <w:rFonts w:hint="eastAsia"/>
      </w:rPr>
    </w:lvl>
    <w:lvl w:ilvl="3" w:tentative="1">
      <w:start w:val="1"/>
      <w:numFmt w:val="decimal"/>
      <w:pStyle w:val="4"/>
      <w:lvlText w:val="（%4）"/>
      <w:lvlJc w:val="left"/>
      <w:pPr>
        <w:tabs>
          <w:tab w:val="left" w:pos="851"/>
        </w:tabs>
        <w:ind w:left="851" w:hanging="851"/>
      </w:pPr>
      <w:rPr>
        <w:rFonts w:hint="eastAsia"/>
      </w:rPr>
    </w:lvl>
    <w:lvl w:ilvl="4" w:tentative="1">
      <w:start w:val="1"/>
      <w:numFmt w:val="lowerLetter"/>
      <w:pStyle w:val="5"/>
      <w:lvlText w:val="%5."/>
      <w:lvlJc w:val="left"/>
      <w:pPr>
        <w:tabs>
          <w:tab w:val="left" w:pos="992"/>
        </w:tabs>
        <w:ind w:left="992" w:hanging="992"/>
      </w:pPr>
      <w:rPr>
        <w:rFonts w:hint="eastAsia"/>
      </w:rPr>
    </w:lvl>
    <w:lvl w:ilvl="5" w:tentative="1">
      <w:start w:val="1"/>
      <w:numFmt w:val="upperRoman"/>
      <w:pStyle w:val="6"/>
      <w:lvlText w:val="%6."/>
      <w:lvlJc w:val="left"/>
      <w:pPr>
        <w:tabs>
          <w:tab w:val="left" w:pos="1134"/>
        </w:tabs>
        <w:ind w:left="1134" w:hanging="1134"/>
      </w:pPr>
      <w:rPr>
        <w:rFonts w:hint="eastAsia"/>
      </w:rPr>
    </w:lvl>
    <w:lvl w:ilvl="6" w:tentative="1">
      <w:start w:val="1"/>
      <w:numFmt w:val="lowerRoman"/>
      <w:pStyle w:val="7"/>
      <w:lvlText w:val="%7."/>
      <w:lvlJc w:val="left"/>
      <w:pPr>
        <w:tabs>
          <w:tab w:val="left" w:pos="1276"/>
        </w:tabs>
        <w:ind w:left="1276" w:hanging="1276"/>
      </w:pPr>
      <w:rPr>
        <w:rFonts w:hint="eastAsia"/>
      </w:rPr>
    </w:lvl>
    <w:lvl w:ilvl="7" w:tentative="1">
      <w:start w:val="1"/>
      <w:numFmt w:val="decimal"/>
      <w:pStyle w:val="8"/>
      <w:lvlText w:val="%8）"/>
      <w:lvlJc w:val="left"/>
      <w:pPr>
        <w:tabs>
          <w:tab w:val="left" w:pos="1418"/>
        </w:tabs>
        <w:ind w:left="1418" w:hanging="1418"/>
      </w:pPr>
      <w:rPr>
        <w:rFonts w:hint="eastAsia"/>
      </w:rPr>
    </w:lvl>
    <w:lvl w:ilvl="8" w:tentative="1">
      <w:start w:val="1"/>
      <w:numFmt w:val="upperLetter"/>
      <w:pStyle w:val="9"/>
      <w:lvlText w:val="%9）"/>
      <w:lvlJc w:val="left"/>
      <w:pPr>
        <w:tabs>
          <w:tab w:val="left" w:pos="1559"/>
        </w:tabs>
        <w:ind w:left="1559" w:hanging="1559"/>
      </w:pPr>
      <w:rPr>
        <w:rFonts w:hint="eastAsia"/>
      </w:rPr>
    </w:lvl>
  </w:abstractNum>
  <w:abstractNum w:abstractNumId="8">
    <w:nsid w:val="5BF467A6"/>
    <w:multiLevelType w:val="multilevel"/>
    <w:tmpl w:val="5BF467A6"/>
    <w:lvl w:ilvl="0">
      <w:start w:val="1"/>
      <w:numFmt w:val="japaneseCounting"/>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9">
    <w:nsid w:val="6B026D89"/>
    <w:multiLevelType w:val="multilevel"/>
    <w:tmpl w:val="6B026D89"/>
    <w:lvl w:ilvl="0">
      <w:start w:val="1"/>
      <w:numFmt w:val="japaneseCounting"/>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0">
    <w:nsid w:val="6EBB3F5C"/>
    <w:multiLevelType w:val="multilevel"/>
    <w:tmpl w:val="6EBB3F5C"/>
    <w:lvl w:ilvl="0">
      <w:start w:val="1"/>
      <w:numFmt w:val="japaneseCounting"/>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1">
    <w:nsid w:val="710C241F"/>
    <w:multiLevelType w:val="multilevel"/>
    <w:tmpl w:val="710C241F"/>
    <w:lvl w:ilvl="0">
      <w:start w:val="1"/>
      <w:numFmt w:val="japaneseCounting"/>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2">
    <w:nsid w:val="76C42031"/>
    <w:multiLevelType w:val="multilevel"/>
    <w:tmpl w:val="76C42031"/>
    <w:lvl w:ilvl="0">
      <w:start w:val="1"/>
      <w:numFmt w:val="japaneseCounting"/>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num w:numId="1">
    <w:abstractNumId w:val="7"/>
  </w:num>
  <w:num w:numId="2">
    <w:abstractNumId w:val="4"/>
  </w:num>
  <w:num w:numId="3">
    <w:abstractNumId w:val="1"/>
  </w:num>
  <w:num w:numId="4">
    <w:abstractNumId w:val="5"/>
  </w:num>
  <w:num w:numId="5">
    <w:abstractNumId w:val="6"/>
  </w:num>
  <w:num w:numId="6">
    <w:abstractNumId w:val="11"/>
  </w:num>
  <w:num w:numId="7">
    <w:abstractNumId w:val="8"/>
  </w:num>
  <w:num w:numId="8">
    <w:abstractNumId w:val="3"/>
  </w:num>
  <w:num w:numId="9">
    <w:abstractNumId w:val="10"/>
  </w:num>
  <w:num w:numId="10">
    <w:abstractNumId w:val="2"/>
  </w:num>
  <w:num w:numId="11">
    <w:abstractNumId w:val="9"/>
  </w:num>
  <w:num w:numId="12">
    <w:abstractNumId w:val="1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attachedTemplate r:id="rId1"/>
  <w:defaultTabStop w:val="420"/>
  <w:drawingGridHorizontalSpacing w:val="213"/>
  <w:drawingGridVerticalSpacing w:val="156"/>
  <w:displayHorizontalDrawingGridEvery w:val="0"/>
  <w:displayVerticalDrawingGridEvery w:val="2"/>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6C8E"/>
    <w:rsid w:val="0000074D"/>
    <w:rsid w:val="00000AE0"/>
    <w:rsid w:val="00000B54"/>
    <w:rsid w:val="0000241B"/>
    <w:rsid w:val="000024D1"/>
    <w:rsid w:val="0000297F"/>
    <w:rsid w:val="00002A2E"/>
    <w:rsid w:val="0000622F"/>
    <w:rsid w:val="00006230"/>
    <w:rsid w:val="00006641"/>
    <w:rsid w:val="00006CAE"/>
    <w:rsid w:val="0001042D"/>
    <w:rsid w:val="000105DF"/>
    <w:rsid w:val="000121DA"/>
    <w:rsid w:val="00013E96"/>
    <w:rsid w:val="00013FA9"/>
    <w:rsid w:val="00015B11"/>
    <w:rsid w:val="000162EB"/>
    <w:rsid w:val="000220E2"/>
    <w:rsid w:val="00022ED7"/>
    <w:rsid w:val="00026D7A"/>
    <w:rsid w:val="000301B8"/>
    <w:rsid w:val="00030302"/>
    <w:rsid w:val="000322E9"/>
    <w:rsid w:val="000328AD"/>
    <w:rsid w:val="00037039"/>
    <w:rsid w:val="0003706E"/>
    <w:rsid w:val="00037326"/>
    <w:rsid w:val="00037587"/>
    <w:rsid w:val="00040B42"/>
    <w:rsid w:val="00042556"/>
    <w:rsid w:val="000427AF"/>
    <w:rsid w:val="00043355"/>
    <w:rsid w:val="0004542C"/>
    <w:rsid w:val="000462AE"/>
    <w:rsid w:val="00047DAF"/>
    <w:rsid w:val="00047F42"/>
    <w:rsid w:val="00050EDE"/>
    <w:rsid w:val="0005196D"/>
    <w:rsid w:val="00051A0F"/>
    <w:rsid w:val="000523C0"/>
    <w:rsid w:val="00052E0C"/>
    <w:rsid w:val="00052FDE"/>
    <w:rsid w:val="00053DAC"/>
    <w:rsid w:val="00054B7C"/>
    <w:rsid w:val="000602AD"/>
    <w:rsid w:val="00060AEE"/>
    <w:rsid w:val="000625A2"/>
    <w:rsid w:val="00064AC5"/>
    <w:rsid w:val="00064E69"/>
    <w:rsid w:val="000666FB"/>
    <w:rsid w:val="00067798"/>
    <w:rsid w:val="00070878"/>
    <w:rsid w:val="00070C2F"/>
    <w:rsid w:val="00072F4D"/>
    <w:rsid w:val="00073F7F"/>
    <w:rsid w:val="00074084"/>
    <w:rsid w:val="00076816"/>
    <w:rsid w:val="00076BAB"/>
    <w:rsid w:val="00077FFB"/>
    <w:rsid w:val="000805F0"/>
    <w:rsid w:val="000806CD"/>
    <w:rsid w:val="0008114F"/>
    <w:rsid w:val="000824D7"/>
    <w:rsid w:val="00087049"/>
    <w:rsid w:val="00090143"/>
    <w:rsid w:val="00090CBC"/>
    <w:rsid w:val="00092BC8"/>
    <w:rsid w:val="0009306C"/>
    <w:rsid w:val="00093F49"/>
    <w:rsid w:val="000958B7"/>
    <w:rsid w:val="00095917"/>
    <w:rsid w:val="00095B27"/>
    <w:rsid w:val="000961CA"/>
    <w:rsid w:val="00096F87"/>
    <w:rsid w:val="000973D1"/>
    <w:rsid w:val="00097E66"/>
    <w:rsid w:val="000A0970"/>
    <w:rsid w:val="000A0E32"/>
    <w:rsid w:val="000A1466"/>
    <w:rsid w:val="000A2175"/>
    <w:rsid w:val="000A2799"/>
    <w:rsid w:val="000A299E"/>
    <w:rsid w:val="000A3634"/>
    <w:rsid w:val="000A5646"/>
    <w:rsid w:val="000A67FA"/>
    <w:rsid w:val="000B15B3"/>
    <w:rsid w:val="000B1DC3"/>
    <w:rsid w:val="000B2F1F"/>
    <w:rsid w:val="000B32C9"/>
    <w:rsid w:val="000B3487"/>
    <w:rsid w:val="000B4E86"/>
    <w:rsid w:val="000B59D9"/>
    <w:rsid w:val="000B6673"/>
    <w:rsid w:val="000B7885"/>
    <w:rsid w:val="000B7AD1"/>
    <w:rsid w:val="000C164A"/>
    <w:rsid w:val="000C1EB0"/>
    <w:rsid w:val="000C3F7F"/>
    <w:rsid w:val="000C4063"/>
    <w:rsid w:val="000C5109"/>
    <w:rsid w:val="000C61B9"/>
    <w:rsid w:val="000C6561"/>
    <w:rsid w:val="000C771C"/>
    <w:rsid w:val="000C7FBC"/>
    <w:rsid w:val="000D0DCF"/>
    <w:rsid w:val="000D16A0"/>
    <w:rsid w:val="000D295B"/>
    <w:rsid w:val="000D3B68"/>
    <w:rsid w:val="000D53C2"/>
    <w:rsid w:val="000E0589"/>
    <w:rsid w:val="000E105A"/>
    <w:rsid w:val="000E1D72"/>
    <w:rsid w:val="000E1FBD"/>
    <w:rsid w:val="000E33FF"/>
    <w:rsid w:val="000E60EB"/>
    <w:rsid w:val="000F0405"/>
    <w:rsid w:val="000F3F44"/>
    <w:rsid w:val="000F51A2"/>
    <w:rsid w:val="000F74FC"/>
    <w:rsid w:val="000F7568"/>
    <w:rsid w:val="0010149C"/>
    <w:rsid w:val="00102AB4"/>
    <w:rsid w:val="00105635"/>
    <w:rsid w:val="001061B1"/>
    <w:rsid w:val="0010673E"/>
    <w:rsid w:val="00107946"/>
    <w:rsid w:val="00110BC7"/>
    <w:rsid w:val="00111174"/>
    <w:rsid w:val="0011259D"/>
    <w:rsid w:val="00112D93"/>
    <w:rsid w:val="00114425"/>
    <w:rsid w:val="00114906"/>
    <w:rsid w:val="00114DD1"/>
    <w:rsid w:val="00115DD7"/>
    <w:rsid w:val="0011600B"/>
    <w:rsid w:val="0011642E"/>
    <w:rsid w:val="00116769"/>
    <w:rsid w:val="00117D8E"/>
    <w:rsid w:val="00120DA2"/>
    <w:rsid w:val="0012156D"/>
    <w:rsid w:val="00122003"/>
    <w:rsid w:val="00122503"/>
    <w:rsid w:val="00122F19"/>
    <w:rsid w:val="001248C7"/>
    <w:rsid w:val="00126CCF"/>
    <w:rsid w:val="00127A2B"/>
    <w:rsid w:val="001323F9"/>
    <w:rsid w:val="001326F8"/>
    <w:rsid w:val="00132761"/>
    <w:rsid w:val="00134569"/>
    <w:rsid w:val="00134B11"/>
    <w:rsid w:val="00135D86"/>
    <w:rsid w:val="001368C1"/>
    <w:rsid w:val="001400FD"/>
    <w:rsid w:val="0014038A"/>
    <w:rsid w:val="00141B14"/>
    <w:rsid w:val="00150F7C"/>
    <w:rsid w:val="00152783"/>
    <w:rsid w:val="00153ABB"/>
    <w:rsid w:val="001555EF"/>
    <w:rsid w:val="00156B61"/>
    <w:rsid w:val="00156D52"/>
    <w:rsid w:val="0016013F"/>
    <w:rsid w:val="001619E9"/>
    <w:rsid w:val="00164045"/>
    <w:rsid w:val="00165F4A"/>
    <w:rsid w:val="001668D4"/>
    <w:rsid w:val="00166EFB"/>
    <w:rsid w:val="00167E79"/>
    <w:rsid w:val="00170F52"/>
    <w:rsid w:val="00176788"/>
    <w:rsid w:val="001768B8"/>
    <w:rsid w:val="00176A54"/>
    <w:rsid w:val="00176FD5"/>
    <w:rsid w:val="00182A80"/>
    <w:rsid w:val="00184EE6"/>
    <w:rsid w:val="001909AB"/>
    <w:rsid w:val="00190F24"/>
    <w:rsid w:val="00191692"/>
    <w:rsid w:val="001930B3"/>
    <w:rsid w:val="00194673"/>
    <w:rsid w:val="00195102"/>
    <w:rsid w:val="00196AED"/>
    <w:rsid w:val="001A0531"/>
    <w:rsid w:val="001A062B"/>
    <w:rsid w:val="001A0CA0"/>
    <w:rsid w:val="001A18A7"/>
    <w:rsid w:val="001A245F"/>
    <w:rsid w:val="001A3463"/>
    <w:rsid w:val="001A48E4"/>
    <w:rsid w:val="001A6285"/>
    <w:rsid w:val="001A6F29"/>
    <w:rsid w:val="001A7E35"/>
    <w:rsid w:val="001B1969"/>
    <w:rsid w:val="001B3289"/>
    <w:rsid w:val="001B35C5"/>
    <w:rsid w:val="001B5013"/>
    <w:rsid w:val="001B663D"/>
    <w:rsid w:val="001B6CDD"/>
    <w:rsid w:val="001B7160"/>
    <w:rsid w:val="001C48CD"/>
    <w:rsid w:val="001D01B8"/>
    <w:rsid w:val="001D252C"/>
    <w:rsid w:val="001D41D2"/>
    <w:rsid w:val="001D6876"/>
    <w:rsid w:val="001D6B6F"/>
    <w:rsid w:val="001E032E"/>
    <w:rsid w:val="001E0582"/>
    <w:rsid w:val="001E084A"/>
    <w:rsid w:val="001E0C96"/>
    <w:rsid w:val="001E1AC6"/>
    <w:rsid w:val="001E1C7A"/>
    <w:rsid w:val="001E3118"/>
    <w:rsid w:val="001E52F5"/>
    <w:rsid w:val="001E6564"/>
    <w:rsid w:val="001F2A4E"/>
    <w:rsid w:val="001F3DAC"/>
    <w:rsid w:val="001F6377"/>
    <w:rsid w:val="001F67D9"/>
    <w:rsid w:val="001F6EB9"/>
    <w:rsid w:val="00200409"/>
    <w:rsid w:val="0020065A"/>
    <w:rsid w:val="00201E39"/>
    <w:rsid w:val="0020216E"/>
    <w:rsid w:val="002025DC"/>
    <w:rsid w:val="00202923"/>
    <w:rsid w:val="00203560"/>
    <w:rsid w:val="00204789"/>
    <w:rsid w:val="00204CA6"/>
    <w:rsid w:val="002075AB"/>
    <w:rsid w:val="002078CA"/>
    <w:rsid w:val="00207B6A"/>
    <w:rsid w:val="002116CB"/>
    <w:rsid w:val="002149CE"/>
    <w:rsid w:val="0021503D"/>
    <w:rsid w:val="00215327"/>
    <w:rsid w:val="002178F0"/>
    <w:rsid w:val="002224F4"/>
    <w:rsid w:val="002232B4"/>
    <w:rsid w:val="002232FA"/>
    <w:rsid w:val="002275C6"/>
    <w:rsid w:val="00230986"/>
    <w:rsid w:val="00232A33"/>
    <w:rsid w:val="00232CC3"/>
    <w:rsid w:val="00233F87"/>
    <w:rsid w:val="00235286"/>
    <w:rsid w:val="00235F27"/>
    <w:rsid w:val="00236733"/>
    <w:rsid w:val="00236DAD"/>
    <w:rsid w:val="002373E4"/>
    <w:rsid w:val="00237DD7"/>
    <w:rsid w:val="002419D4"/>
    <w:rsid w:val="00242EBA"/>
    <w:rsid w:val="002433F8"/>
    <w:rsid w:val="0024428C"/>
    <w:rsid w:val="0024577C"/>
    <w:rsid w:val="00245BBF"/>
    <w:rsid w:val="002467DE"/>
    <w:rsid w:val="00246A5F"/>
    <w:rsid w:val="00247152"/>
    <w:rsid w:val="00247532"/>
    <w:rsid w:val="00251253"/>
    <w:rsid w:val="00253613"/>
    <w:rsid w:val="002546EE"/>
    <w:rsid w:val="00255DB7"/>
    <w:rsid w:val="0026115F"/>
    <w:rsid w:val="00261F41"/>
    <w:rsid w:val="00264D1D"/>
    <w:rsid w:val="00265D51"/>
    <w:rsid w:val="0027128D"/>
    <w:rsid w:val="00271D28"/>
    <w:rsid w:val="0027220A"/>
    <w:rsid w:val="00274849"/>
    <w:rsid w:val="0027549B"/>
    <w:rsid w:val="00275837"/>
    <w:rsid w:val="00275AD9"/>
    <w:rsid w:val="00277D2C"/>
    <w:rsid w:val="0028112A"/>
    <w:rsid w:val="002813F1"/>
    <w:rsid w:val="0028203D"/>
    <w:rsid w:val="00284009"/>
    <w:rsid w:val="0028431D"/>
    <w:rsid w:val="0028563B"/>
    <w:rsid w:val="00286AD9"/>
    <w:rsid w:val="0028738D"/>
    <w:rsid w:val="00287B8C"/>
    <w:rsid w:val="00287D65"/>
    <w:rsid w:val="00287E8F"/>
    <w:rsid w:val="00291831"/>
    <w:rsid w:val="00291AD2"/>
    <w:rsid w:val="002936F3"/>
    <w:rsid w:val="0029373B"/>
    <w:rsid w:val="00294515"/>
    <w:rsid w:val="00294C40"/>
    <w:rsid w:val="00295A54"/>
    <w:rsid w:val="002A2418"/>
    <w:rsid w:val="002A4BA9"/>
    <w:rsid w:val="002B0594"/>
    <w:rsid w:val="002B062C"/>
    <w:rsid w:val="002B142F"/>
    <w:rsid w:val="002B34E8"/>
    <w:rsid w:val="002B5511"/>
    <w:rsid w:val="002B551A"/>
    <w:rsid w:val="002B594F"/>
    <w:rsid w:val="002B6322"/>
    <w:rsid w:val="002C14DC"/>
    <w:rsid w:val="002C1763"/>
    <w:rsid w:val="002C25BC"/>
    <w:rsid w:val="002C70EE"/>
    <w:rsid w:val="002C78E7"/>
    <w:rsid w:val="002D0A33"/>
    <w:rsid w:val="002D3E8D"/>
    <w:rsid w:val="002D40E6"/>
    <w:rsid w:val="002D5E00"/>
    <w:rsid w:val="002E0824"/>
    <w:rsid w:val="002E2A9B"/>
    <w:rsid w:val="002E3652"/>
    <w:rsid w:val="002E5332"/>
    <w:rsid w:val="002E5C1F"/>
    <w:rsid w:val="002E5E28"/>
    <w:rsid w:val="002E6F81"/>
    <w:rsid w:val="002F04A4"/>
    <w:rsid w:val="002F0A0F"/>
    <w:rsid w:val="002F1937"/>
    <w:rsid w:val="002F19ED"/>
    <w:rsid w:val="002F5019"/>
    <w:rsid w:val="002F5857"/>
    <w:rsid w:val="002F595C"/>
    <w:rsid w:val="002F5D57"/>
    <w:rsid w:val="002F784A"/>
    <w:rsid w:val="002F789F"/>
    <w:rsid w:val="002F7E64"/>
    <w:rsid w:val="00300CB8"/>
    <w:rsid w:val="0030261C"/>
    <w:rsid w:val="00303F39"/>
    <w:rsid w:val="00305956"/>
    <w:rsid w:val="00306D8B"/>
    <w:rsid w:val="00310059"/>
    <w:rsid w:val="003106E1"/>
    <w:rsid w:val="00310D63"/>
    <w:rsid w:val="00311A40"/>
    <w:rsid w:val="00312E50"/>
    <w:rsid w:val="0031337B"/>
    <w:rsid w:val="00314863"/>
    <w:rsid w:val="003178BD"/>
    <w:rsid w:val="0032034A"/>
    <w:rsid w:val="00321A01"/>
    <w:rsid w:val="00322C1B"/>
    <w:rsid w:val="003236D3"/>
    <w:rsid w:val="003238BE"/>
    <w:rsid w:val="0032583D"/>
    <w:rsid w:val="00332040"/>
    <w:rsid w:val="00333165"/>
    <w:rsid w:val="0033415C"/>
    <w:rsid w:val="00334374"/>
    <w:rsid w:val="00335869"/>
    <w:rsid w:val="00335C19"/>
    <w:rsid w:val="00340BDF"/>
    <w:rsid w:val="003413B9"/>
    <w:rsid w:val="0034400A"/>
    <w:rsid w:val="00345F0A"/>
    <w:rsid w:val="003463E6"/>
    <w:rsid w:val="003475FF"/>
    <w:rsid w:val="00347FE8"/>
    <w:rsid w:val="00352601"/>
    <w:rsid w:val="00353C6D"/>
    <w:rsid w:val="003547CE"/>
    <w:rsid w:val="003572C7"/>
    <w:rsid w:val="00361373"/>
    <w:rsid w:val="00361947"/>
    <w:rsid w:val="003619C4"/>
    <w:rsid w:val="00362ED0"/>
    <w:rsid w:val="00363B00"/>
    <w:rsid w:val="00367CF1"/>
    <w:rsid w:val="00371601"/>
    <w:rsid w:val="00372504"/>
    <w:rsid w:val="003737E9"/>
    <w:rsid w:val="00380847"/>
    <w:rsid w:val="00381D73"/>
    <w:rsid w:val="00382846"/>
    <w:rsid w:val="003828E9"/>
    <w:rsid w:val="0038306F"/>
    <w:rsid w:val="003849FD"/>
    <w:rsid w:val="00386076"/>
    <w:rsid w:val="0038664F"/>
    <w:rsid w:val="003905F0"/>
    <w:rsid w:val="0039240C"/>
    <w:rsid w:val="003928A1"/>
    <w:rsid w:val="00393614"/>
    <w:rsid w:val="00394B0A"/>
    <w:rsid w:val="00395B7E"/>
    <w:rsid w:val="003A0DE9"/>
    <w:rsid w:val="003A1CCE"/>
    <w:rsid w:val="003A4363"/>
    <w:rsid w:val="003A43FC"/>
    <w:rsid w:val="003A4598"/>
    <w:rsid w:val="003A7471"/>
    <w:rsid w:val="003B15A3"/>
    <w:rsid w:val="003B17D1"/>
    <w:rsid w:val="003B1A8D"/>
    <w:rsid w:val="003B238B"/>
    <w:rsid w:val="003B259D"/>
    <w:rsid w:val="003B386F"/>
    <w:rsid w:val="003B5923"/>
    <w:rsid w:val="003B6D93"/>
    <w:rsid w:val="003C1ECB"/>
    <w:rsid w:val="003C610F"/>
    <w:rsid w:val="003D1D4C"/>
    <w:rsid w:val="003D2F96"/>
    <w:rsid w:val="003D3605"/>
    <w:rsid w:val="003D48A6"/>
    <w:rsid w:val="003D5FC9"/>
    <w:rsid w:val="003D76E5"/>
    <w:rsid w:val="003D770E"/>
    <w:rsid w:val="003E0172"/>
    <w:rsid w:val="003E0693"/>
    <w:rsid w:val="003E3277"/>
    <w:rsid w:val="003E3370"/>
    <w:rsid w:val="003E7F38"/>
    <w:rsid w:val="003F01C7"/>
    <w:rsid w:val="003F2EEB"/>
    <w:rsid w:val="003F35EB"/>
    <w:rsid w:val="003F3B79"/>
    <w:rsid w:val="003F3E09"/>
    <w:rsid w:val="003F5AA4"/>
    <w:rsid w:val="003F68A5"/>
    <w:rsid w:val="003F7C93"/>
    <w:rsid w:val="00400854"/>
    <w:rsid w:val="004019A6"/>
    <w:rsid w:val="00402520"/>
    <w:rsid w:val="0040330D"/>
    <w:rsid w:val="004035F9"/>
    <w:rsid w:val="0040411A"/>
    <w:rsid w:val="0040728E"/>
    <w:rsid w:val="00410D2E"/>
    <w:rsid w:val="00410D75"/>
    <w:rsid w:val="004117DD"/>
    <w:rsid w:val="00411A5A"/>
    <w:rsid w:val="00411C10"/>
    <w:rsid w:val="00412894"/>
    <w:rsid w:val="0041437D"/>
    <w:rsid w:val="00414D17"/>
    <w:rsid w:val="00415045"/>
    <w:rsid w:val="004153A6"/>
    <w:rsid w:val="004153C2"/>
    <w:rsid w:val="0041676C"/>
    <w:rsid w:val="004178AC"/>
    <w:rsid w:val="00417A66"/>
    <w:rsid w:val="00417C19"/>
    <w:rsid w:val="00417C34"/>
    <w:rsid w:val="00421098"/>
    <w:rsid w:val="004223EF"/>
    <w:rsid w:val="00422D89"/>
    <w:rsid w:val="004232D9"/>
    <w:rsid w:val="004238B2"/>
    <w:rsid w:val="00426A52"/>
    <w:rsid w:val="00426E0A"/>
    <w:rsid w:val="004275A0"/>
    <w:rsid w:val="00430BC4"/>
    <w:rsid w:val="00431B33"/>
    <w:rsid w:val="00431BB7"/>
    <w:rsid w:val="00432694"/>
    <w:rsid w:val="00432D9A"/>
    <w:rsid w:val="0043331F"/>
    <w:rsid w:val="00434454"/>
    <w:rsid w:val="00434B16"/>
    <w:rsid w:val="004351E3"/>
    <w:rsid w:val="004369FD"/>
    <w:rsid w:val="00436BD5"/>
    <w:rsid w:val="00436D4B"/>
    <w:rsid w:val="00437891"/>
    <w:rsid w:val="00442D48"/>
    <w:rsid w:val="004457CF"/>
    <w:rsid w:val="00451B53"/>
    <w:rsid w:val="00452CC1"/>
    <w:rsid w:val="00452E3C"/>
    <w:rsid w:val="004535EA"/>
    <w:rsid w:val="00454068"/>
    <w:rsid w:val="00454EFD"/>
    <w:rsid w:val="004557BE"/>
    <w:rsid w:val="00455A07"/>
    <w:rsid w:val="00455C1E"/>
    <w:rsid w:val="00455D87"/>
    <w:rsid w:val="00455E71"/>
    <w:rsid w:val="004568A0"/>
    <w:rsid w:val="00460402"/>
    <w:rsid w:val="00460A10"/>
    <w:rsid w:val="00461AC3"/>
    <w:rsid w:val="00461D05"/>
    <w:rsid w:val="00462840"/>
    <w:rsid w:val="00462FAA"/>
    <w:rsid w:val="00464601"/>
    <w:rsid w:val="00466C8E"/>
    <w:rsid w:val="004747F5"/>
    <w:rsid w:val="0047624D"/>
    <w:rsid w:val="00476A70"/>
    <w:rsid w:val="00477E8D"/>
    <w:rsid w:val="00482E41"/>
    <w:rsid w:val="004836F5"/>
    <w:rsid w:val="0048591F"/>
    <w:rsid w:val="00486B01"/>
    <w:rsid w:val="00487156"/>
    <w:rsid w:val="00487C0D"/>
    <w:rsid w:val="00490E94"/>
    <w:rsid w:val="00491705"/>
    <w:rsid w:val="004921C4"/>
    <w:rsid w:val="00492799"/>
    <w:rsid w:val="004928AE"/>
    <w:rsid w:val="004931A5"/>
    <w:rsid w:val="00493DC1"/>
    <w:rsid w:val="00494238"/>
    <w:rsid w:val="004960CA"/>
    <w:rsid w:val="004970D2"/>
    <w:rsid w:val="004A08CF"/>
    <w:rsid w:val="004A2A07"/>
    <w:rsid w:val="004A2D6F"/>
    <w:rsid w:val="004A3132"/>
    <w:rsid w:val="004A488C"/>
    <w:rsid w:val="004A4E5D"/>
    <w:rsid w:val="004A5DCF"/>
    <w:rsid w:val="004A7F4F"/>
    <w:rsid w:val="004B1911"/>
    <w:rsid w:val="004B4DEC"/>
    <w:rsid w:val="004B59EF"/>
    <w:rsid w:val="004B662A"/>
    <w:rsid w:val="004B79F6"/>
    <w:rsid w:val="004C0276"/>
    <w:rsid w:val="004C041E"/>
    <w:rsid w:val="004C072B"/>
    <w:rsid w:val="004C0DCE"/>
    <w:rsid w:val="004C1DEA"/>
    <w:rsid w:val="004C2824"/>
    <w:rsid w:val="004C5DC2"/>
    <w:rsid w:val="004C79C0"/>
    <w:rsid w:val="004D2417"/>
    <w:rsid w:val="004D61E6"/>
    <w:rsid w:val="004D696B"/>
    <w:rsid w:val="004E2638"/>
    <w:rsid w:val="004E3820"/>
    <w:rsid w:val="004E4021"/>
    <w:rsid w:val="004E4605"/>
    <w:rsid w:val="004E499F"/>
    <w:rsid w:val="004E5293"/>
    <w:rsid w:val="004E5E4B"/>
    <w:rsid w:val="004F12CD"/>
    <w:rsid w:val="004F1347"/>
    <w:rsid w:val="004F21EB"/>
    <w:rsid w:val="004F2491"/>
    <w:rsid w:val="004F28BC"/>
    <w:rsid w:val="004F29A1"/>
    <w:rsid w:val="004F2D57"/>
    <w:rsid w:val="004F3DAC"/>
    <w:rsid w:val="004F3EC1"/>
    <w:rsid w:val="004F6203"/>
    <w:rsid w:val="004F70CF"/>
    <w:rsid w:val="004F7290"/>
    <w:rsid w:val="004F768D"/>
    <w:rsid w:val="004F7F42"/>
    <w:rsid w:val="005004FE"/>
    <w:rsid w:val="005005AE"/>
    <w:rsid w:val="005009C4"/>
    <w:rsid w:val="00500E30"/>
    <w:rsid w:val="00503EE5"/>
    <w:rsid w:val="0050433E"/>
    <w:rsid w:val="00504D10"/>
    <w:rsid w:val="00505E8C"/>
    <w:rsid w:val="00505E9B"/>
    <w:rsid w:val="00506838"/>
    <w:rsid w:val="00507036"/>
    <w:rsid w:val="00510267"/>
    <w:rsid w:val="00510BE6"/>
    <w:rsid w:val="00512940"/>
    <w:rsid w:val="00512FC9"/>
    <w:rsid w:val="005134B0"/>
    <w:rsid w:val="005144E3"/>
    <w:rsid w:val="00514A86"/>
    <w:rsid w:val="00514B07"/>
    <w:rsid w:val="00515BA9"/>
    <w:rsid w:val="00521BBF"/>
    <w:rsid w:val="00522475"/>
    <w:rsid w:val="005243D7"/>
    <w:rsid w:val="00524928"/>
    <w:rsid w:val="00524BAA"/>
    <w:rsid w:val="00525000"/>
    <w:rsid w:val="005272D5"/>
    <w:rsid w:val="00527E6D"/>
    <w:rsid w:val="00527F18"/>
    <w:rsid w:val="00530216"/>
    <w:rsid w:val="00530B02"/>
    <w:rsid w:val="005333B9"/>
    <w:rsid w:val="005343AA"/>
    <w:rsid w:val="00534A22"/>
    <w:rsid w:val="005365AE"/>
    <w:rsid w:val="00537A2A"/>
    <w:rsid w:val="00540DA9"/>
    <w:rsid w:val="005412FE"/>
    <w:rsid w:val="00541E6B"/>
    <w:rsid w:val="00544266"/>
    <w:rsid w:val="00544E70"/>
    <w:rsid w:val="0054624D"/>
    <w:rsid w:val="0054634F"/>
    <w:rsid w:val="00546E2D"/>
    <w:rsid w:val="005502F0"/>
    <w:rsid w:val="005505C0"/>
    <w:rsid w:val="005521C2"/>
    <w:rsid w:val="00553BFF"/>
    <w:rsid w:val="00554460"/>
    <w:rsid w:val="005555B6"/>
    <w:rsid w:val="005557B8"/>
    <w:rsid w:val="00555A48"/>
    <w:rsid w:val="005603C6"/>
    <w:rsid w:val="00562D0A"/>
    <w:rsid w:val="005634B3"/>
    <w:rsid w:val="00563CED"/>
    <w:rsid w:val="00564125"/>
    <w:rsid w:val="00566397"/>
    <w:rsid w:val="005677E4"/>
    <w:rsid w:val="00567810"/>
    <w:rsid w:val="00570CA3"/>
    <w:rsid w:val="00571E8D"/>
    <w:rsid w:val="00573AC5"/>
    <w:rsid w:val="00573EA8"/>
    <w:rsid w:val="0057565E"/>
    <w:rsid w:val="00576922"/>
    <w:rsid w:val="00577952"/>
    <w:rsid w:val="005808DF"/>
    <w:rsid w:val="00580C07"/>
    <w:rsid w:val="0058215A"/>
    <w:rsid w:val="005836D4"/>
    <w:rsid w:val="0058370E"/>
    <w:rsid w:val="00583716"/>
    <w:rsid w:val="0058584C"/>
    <w:rsid w:val="00587AE4"/>
    <w:rsid w:val="00591D5A"/>
    <w:rsid w:val="00591D62"/>
    <w:rsid w:val="005931CB"/>
    <w:rsid w:val="0059330A"/>
    <w:rsid w:val="0059365C"/>
    <w:rsid w:val="00593BA2"/>
    <w:rsid w:val="00593E4F"/>
    <w:rsid w:val="00594002"/>
    <w:rsid w:val="00597F3D"/>
    <w:rsid w:val="005A059C"/>
    <w:rsid w:val="005A0620"/>
    <w:rsid w:val="005A09FB"/>
    <w:rsid w:val="005A0C39"/>
    <w:rsid w:val="005A13E3"/>
    <w:rsid w:val="005A1E0C"/>
    <w:rsid w:val="005A22D0"/>
    <w:rsid w:val="005A268A"/>
    <w:rsid w:val="005A3FBE"/>
    <w:rsid w:val="005B135F"/>
    <w:rsid w:val="005B1734"/>
    <w:rsid w:val="005B1DA0"/>
    <w:rsid w:val="005B5842"/>
    <w:rsid w:val="005B67C3"/>
    <w:rsid w:val="005B79FD"/>
    <w:rsid w:val="005B7D2F"/>
    <w:rsid w:val="005C0617"/>
    <w:rsid w:val="005C4835"/>
    <w:rsid w:val="005C608A"/>
    <w:rsid w:val="005C61A8"/>
    <w:rsid w:val="005C6876"/>
    <w:rsid w:val="005D58DF"/>
    <w:rsid w:val="005D5B74"/>
    <w:rsid w:val="005D6A59"/>
    <w:rsid w:val="005D792C"/>
    <w:rsid w:val="005E281C"/>
    <w:rsid w:val="005E2ECF"/>
    <w:rsid w:val="005E34D7"/>
    <w:rsid w:val="005E4495"/>
    <w:rsid w:val="005E727A"/>
    <w:rsid w:val="005E7E8C"/>
    <w:rsid w:val="005F0483"/>
    <w:rsid w:val="005F0CAE"/>
    <w:rsid w:val="005F32DB"/>
    <w:rsid w:val="005F347F"/>
    <w:rsid w:val="005F4242"/>
    <w:rsid w:val="005F4472"/>
    <w:rsid w:val="005F47BE"/>
    <w:rsid w:val="005F51C0"/>
    <w:rsid w:val="005F5F50"/>
    <w:rsid w:val="00600032"/>
    <w:rsid w:val="006020BF"/>
    <w:rsid w:val="006030E8"/>
    <w:rsid w:val="00603841"/>
    <w:rsid w:val="00604DE8"/>
    <w:rsid w:val="00604F72"/>
    <w:rsid w:val="006105B1"/>
    <w:rsid w:val="00611103"/>
    <w:rsid w:val="0061279E"/>
    <w:rsid w:val="00615388"/>
    <w:rsid w:val="006174F9"/>
    <w:rsid w:val="006178A9"/>
    <w:rsid w:val="006206D9"/>
    <w:rsid w:val="00621205"/>
    <w:rsid w:val="0062213D"/>
    <w:rsid w:val="006235A7"/>
    <w:rsid w:val="00623688"/>
    <w:rsid w:val="00624A3B"/>
    <w:rsid w:val="00626652"/>
    <w:rsid w:val="00630E49"/>
    <w:rsid w:val="00631B51"/>
    <w:rsid w:val="00631C9B"/>
    <w:rsid w:val="00632B80"/>
    <w:rsid w:val="006347DC"/>
    <w:rsid w:val="00637381"/>
    <w:rsid w:val="006373E5"/>
    <w:rsid w:val="0063741A"/>
    <w:rsid w:val="006376C1"/>
    <w:rsid w:val="006415D5"/>
    <w:rsid w:val="0064178B"/>
    <w:rsid w:val="00641DDA"/>
    <w:rsid w:val="00642762"/>
    <w:rsid w:val="006430A7"/>
    <w:rsid w:val="00644763"/>
    <w:rsid w:val="00644BDF"/>
    <w:rsid w:val="00647B48"/>
    <w:rsid w:val="00651142"/>
    <w:rsid w:val="00652FB7"/>
    <w:rsid w:val="00654687"/>
    <w:rsid w:val="0065558E"/>
    <w:rsid w:val="006566BA"/>
    <w:rsid w:val="00657309"/>
    <w:rsid w:val="00660079"/>
    <w:rsid w:val="00660544"/>
    <w:rsid w:val="00661955"/>
    <w:rsid w:val="00663376"/>
    <w:rsid w:val="0066338E"/>
    <w:rsid w:val="0066472C"/>
    <w:rsid w:val="00664E4D"/>
    <w:rsid w:val="006650A3"/>
    <w:rsid w:val="00665742"/>
    <w:rsid w:val="00667BD1"/>
    <w:rsid w:val="00667ECE"/>
    <w:rsid w:val="00670AE5"/>
    <w:rsid w:val="00671B51"/>
    <w:rsid w:val="00676B33"/>
    <w:rsid w:val="00677ACF"/>
    <w:rsid w:val="0068062B"/>
    <w:rsid w:val="00680D0F"/>
    <w:rsid w:val="00681701"/>
    <w:rsid w:val="00681C4C"/>
    <w:rsid w:val="00685D4B"/>
    <w:rsid w:val="00686C79"/>
    <w:rsid w:val="006872AA"/>
    <w:rsid w:val="0069070A"/>
    <w:rsid w:val="00693E77"/>
    <w:rsid w:val="00694DAA"/>
    <w:rsid w:val="00695E31"/>
    <w:rsid w:val="00696BC8"/>
    <w:rsid w:val="00697453"/>
    <w:rsid w:val="00697AEB"/>
    <w:rsid w:val="006A5BAB"/>
    <w:rsid w:val="006A5BFA"/>
    <w:rsid w:val="006A6DD0"/>
    <w:rsid w:val="006B02D2"/>
    <w:rsid w:val="006B143E"/>
    <w:rsid w:val="006B23FE"/>
    <w:rsid w:val="006B6B34"/>
    <w:rsid w:val="006B754C"/>
    <w:rsid w:val="006B77DC"/>
    <w:rsid w:val="006C2EB9"/>
    <w:rsid w:val="006C40A1"/>
    <w:rsid w:val="006C66CE"/>
    <w:rsid w:val="006C72A4"/>
    <w:rsid w:val="006C7D03"/>
    <w:rsid w:val="006D0D69"/>
    <w:rsid w:val="006D2119"/>
    <w:rsid w:val="006D24DC"/>
    <w:rsid w:val="006D27D9"/>
    <w:rsid w:val="006D3DB8"/>
    <w:rsid w:val="006D51E7"/>
    <w:rsid w:val="006D75C9"/>
    <w:rsid w:val="006E0E83"/>
    <w:rsid w:val="006E1D28"/>
    <w:rsid w:val="006E299D"/>
    <w:rsid w:val="006E3386"/>
    <w:rsid w:val="006E3BAB"/>
    <w:rsid w:val="006E4710"/>
    <w:rsid w:val="006E55E0"/>
    <w:rsid w:val="006E57AE"/>
    <w:rsid w:val="006E6811"/>
    <w:rsid w:val="006E6CB5"/>
    <w:rsid w:val="006E72FE"/>
    <w:rsid w:val="006E73DE"/>
    <w:rsid w:val="006E7BC8"/>
    <w:rsid w:val="006E7C50"/>
    <w:rsid w:val="006F064B"/>
    <w:rsid w:val="006F0907"/>
    <w:rsid w:val="006F1AEA"/>
    <w:rsid w:val="006F24EF"/>
    <w:rsid w:val="006F29DD"/>
    <w:rsid w:val="006F533D"/>
    <w:rsid w:val="006F69BE"/>
    <w:rsid w:val="006F6A4E"/>
    <w:rsid w:val="006F72FE"/>
    <w:rsid w:val="0070023E"/>
    <w:rsid w:val="007013B8"/>
    <w:rsid w:val="00703C8E"/>
    <w:rsid w:val="00705ABB"/>
    <w:rsid w:val="00705E1E"/>
    <w:rsid w:val="00710318"/>
    <w:rsid w:val="0071337F"/>
    <w:rsid w:val="007167C9"/>
    <w:rsid w:val="00716838"/>
    <w:rsid w:val="007172D2"/>
    <w:rsid w:val="00717ADB"/>
    <w:rsid w:val="007207EF"/>
    <w:rsid w:val="00721786"/>
    <w:rsid w:val="00722915"/>
    <w:rsid w:val="00722E05"/>
    <w:rsid w:val="00723A81"/>
    <w:rsid w:val="00723EFC"/>
    <w:rsid w:val="007242D8"/>
    <w:rsid w:val="00724781"/>
    <w:rsid w:val="007248C7"/>
    <w:rsid w:val="0072496C"/>
    <w:rsid w:val="007252F4"/>
    <w:rsid w:val="00725700"/>
    <w:rsid w:val="00726994"/>
    <w:rsid w:val="00727877"/>
    <w:rsid w:val="00727894"/>
    <w:rsid w:val="0072795E"/>
    <w:rsid w:val="007300EF"/>
    <w:rsid w:val="00731019"/>
    <w:rsid w:val="00732A3B"/>
    <w:rsid w:val="00732AD2"/>
    <w:rsid w:val="00732F96"/>
    <w:rsid w:val="00733221"/>
    <w:rsid w:val="00735258"/>
    <w:rsid w:val="00736CC7"/>
    <w:rsid w:val="0073704A"/>
    <w:rsid w:val="007378C4"/>
    <w:rsid w:val="00744CEF"/>
    <w:rsid w:val="00744F6A"/>
    <w:rsid w:val="00745E48"/>
    <w:rsid w:val="007470D0"/>
    <w:rsid w:val="0074727C"/>
    <w:rsid w:val="00747CC8"/>
    <w:rsid w:val="00751BF8"/>
    <w:rsid w:val="00753F11"/>
    <w:rsid w:val="00754E5B"/>
    <w:rsid w:val="00755B42"/>
    <w:rsid w:val="00756ED8"/>
    <w:rsid w:val="00757DEA"/>
    <w:rsid w:val="007611B2"/>
    <w:rsid w:val="007614AB"/>
    <w:rsid w:val="00761EEA"/>
    <w:rsid w:val="0076242B"/>
    <w:rsid w:val="00762494"/>
    <w:rsid w:val="0076320E"/>
    <w:rsid w:val="00764966"/>
    <w:rsid w:val="00765B76"/>
    <w:rsid w:val="00767378"/>
    <w:rsid w:val="00771513"/>
    <w:rsid w:val="00772C30"/>
    <w:rsid w:val="00772FDF"/>
    <w:rsid w:val="00773CF7"/>
    <w:rsid w:val="00775404"/>
    <w:rsid w:val="00776360"/>
    <w:rsid w:val="007766F9"/>
    <w:rsid w:val="0078380F"/>
    <w:rsid w:val="00784FC3"/>
    <w:rsid w:val="00786F9C"/>
    <w:rsid w:val="00787A13"/>
    <w:rsid w:val="00787B99"/>
    <w:rsid w:val="00791F11"/>
    <w:rsid w:val="007925C4"/>
    <w:rsid w:val="00793F3C"/>
    <w:rsid w:val="007947FB"/>
    <w:rsid w:val="007950B9"/>
    <w:rsid w:val="00796628"/>
    <w:rsid w:val="007A04BA"/>
    <w:rsid w:val="007A0846"/>
    <w:rsid w:val="007A132C"/>
    <w:rsid w:val="007A4698"/>
    <w:rsid w:val="007A4A47"/>
    <w:rsid w:val="007A508C"/>
    <w:rsid w:val="007A5160"/>
    <w:rsid w:val="007A5445"/>
    <w:rsid w:val="007A5762"/>
    <w:rsid w:val="007A6EA1"/>
    <w:rsid w:val="007A7819"/>
    <w:rsid w:val="007B3EE7"/>
    <w:rsid w:val="007B4223"/>
    <w:rsid w:val="007B4A0E"/>
    <w:rsid w:val="007B4EEB"/>
    <w:rsid w:val="007B6DA1"/>
    <w:rsid w:val="007C11AB"/>
    <w:rsid w:val="007C1723"/>
    <w:rsid w:val="007C1D32"/>
    <w:rsid w:val="007C6E59"/>
    <w:rsid w:val="007C6E65"/>
    <w:rsid w:val="007C7749"/>
    <w:rsid w:val="007D1194"/>
    <w:rsid w:val="007D24FC"/>
    <w:rsid w:val="007D2E30"/>
    <w:rsid w:val="007D7249"/>
    <w:rsid w:val="007D7642"/>
    <w:rsid w:val="007D7885"/>
    <w:rsid w:val="007D7B88"/>
    <w:rsid w:val="007E1A9E"/>
    <w:rsid w:val="007E21B0"/>
    <w:rsid w:val="007E2CB9"/>
    <w:rsid w:val="007E37CA"/>
    <w:rsid w:val="007E46D2"/>
    <w:rsid w:val="007E6CCA"/>
    <w:rsid w:val="007F0CEF"/>
    <w:rsid w:val="007F0CFC"/>
    <w:rsid w:val="007F2093"/>
    <w:rsid w:val="007F33E5"/>
    <w:rsid w:val="007F35D9"/>
    <w:rsid w:val="007F421C"/>
    <w:rsid w:val="007F51DA"/>
    <w:rsid w:val="007F5C1D"/>
    <w:rsid w:val="007F68BA"/>
    <w:rsid w:val="007F7AFE"/>
    <w:rsid w:val="00801056"/>
    <w:rsid w:val="00801B71"/>
    <w:rsid w:val="00803677"/>
    <w:rsid w:val="0080377B"/>
    <w:rsid w:val="0080469A"/>
    <w:rsid w:val="00806989"/>
    <w:rsid w:val="008075CA"/>
    <w:rsid w:val="00810C79"/>
    <w:rsid w:val="0081154D"/>
    <w:rsid w:val="0081250D"/>
    <w:rsid w:val="00816025"/>
    <w:rsid w:val="008161DB"/>
    <w:rsid w:val="0081641B"/>
    <w:rsid w:val="00820314"/>
    <w:rsid w:val="008214EB"/>
    <w:rsid w:val="00821539"/>
    <w:rsid w:val="00824F07"/>
    <w:rsid w:val="00825E71"/>
    <w:rsid w:val="00826051"/>
    <w:rsid w:val="00831157"/>
    <w:rsid w:val="008314F0"/>
    <w:rsid w:val="00832215"/>
    <w:rsid w:val="00837872"/>
    <w:rsid w:val="00840532"/>
    <w:rsid w:val="00840CD2"/>
    <w:rsid w:val="0084186C"/>
    <w:rsid w:val="00841ECE"/>
    <w:rsid w:val="0084254F"/>
    <w:rsid w:val="008500BF"/>
    <w:rsid w:val="0085029D"/>
    <w:rsid w:val="00850F58"/>
    <w:rsid w:val="00851A0E"/>
    <w:rsid w:val="0085207C"/>
    <w:rsid w:val="0085339E"/>
    <w:rsid w:val="00853B48"/>
    <w:rsid w:val="008541E7"/>
    <w:rsid w:val="008544FD"/>
    <w:rsid w:val="008567CD"/>
    <w:rsid w:val="008578D5"/>
    <w:rsid w:val="008625F4"/>
    <w:rsid w:val="008636A7"/>
    <w:rsid w:val="00871331"/>
    <w:rsid w:val="00871990"/>
    <w:rsid w:val="0087224A"/>
    <w:rsid w:val="008724B2"/>
    <w:rsid w:val="0087378B"/>
    <w:rsid w:val="00873BE7"/>
    <w:rsid w:val="00874773"/>
    <w:rsid w:val="00877B9D"/>
    <w:rsid w:val="008825CE"/>
    <w:rsid w:val="008838EF"/>
    <w:rsid w:val="00883FC4"/>
    <w:rsid w:val="00884CCA"/>
    <w:rsid w:val="00884D24"/>
    <w:rsid w:val="00887A90"/>
    <w:rsid w:val="00890664"/>
    <w:rsid w:val="00891B7B"/>
    <w:rsid w:val="0089202E"/>
    <w:rsid w:val="008929DC"/>
    <w:rsid w:val="00893125"/>
    <w:rsid w:val="008A0149"/>
    <w:rsid w:val="008A0FBD"/>
    <w:rsid w:val="008A12E5"/>
    <w:rsid w:val="008A1FEC"/>
    <w:rsid w:val="008A2CB8"/>
    <w:rsid w:val="008A3A40"/>
    <w:rsid w:val="008A3D7F"/>
    <w:rsid w:val="008A6968"/>
    <w:rsid w:val="008A6B57"/>
    <w:rsid w:val="008A74BB"/>
    <w:rsid w:val="008B0105"/>
    <w:rsid w:val="008B1E48"/>
    <w:rsid w:val="008B22AC"/>
    <w:rsid w:val="008B434B"/>
    <w:rsid w:val="008B5B69"/>
    <w:rsid w:val="008B6A00"/>
    <w:rsid w:val="008B6D22"/>
    <w:rsid w:val="008C0552"/>
    <w:rsid w:val="008C1CAE"/>
    <w:rsid w:val="008C3ED4"/>
    <w:rsid w:val="008C4263"/>
    <w:rsid w:val="008C4531"/>
    <w:rsid w:val="008C4B9B"/>
    <w:rsid w:val="008C6533"/>
    <w:rsid w:val="008C6F57"/>
    <w:rsid w:val="008D1324"/>
    <w:rsid w:val="008D6874"/>
    <w:rsid w:val="008D6FE3"/>
    <w:rsid w:val="008D700E"/>
    <w:rsid w:val="008E07AF"/>
    <w:rsid w:val="008E2C5B"/>
    <w:rsid w:val="008E34A4"/>
    <w:rsid w:val="008E57BF"/>
    <w:rsid w:val="008E7629"/>
    <w:rsid w:val="008F079A"/>
    <w:rsid w:val="008F4909"/>
    <w:rsid w:val="008F4B1D"/>
    <w:rsid w:val="008F62E4"/>
    <w:rsid w:val="008F655A"/>
    <w:rsid w:val="00900BD7"/>
    <w:rsid w:val="00901A65"/>
    <w:rsid w:val="0090227B"/>
    <w:rsid w:val="00902794"/>
    <w:rsid w:val="00903857"/>
    <w:rsid w:val="00903954"/>
    <w:rsid w:val="00903AC8"/>
    <w:rsid w:val="00903BE2"/>
    <w:rsid w:val="0090745E"/>
    <w:rsid w:val="00907813"/>
    <w:rsid w:val="00907CE2"/>
    <w:rsid w:val="00910464"/>
    <w:rsid w:val="00911775"/>
    <w:rsid w:val="00911B94"/>
    <w:rsid w:val="009140B2"/>
    <w:rsid w:val="00915DD7"/>
    <w:rsid w:val="00916402"/>
    <w:rsid w:val="009165BD"/>
    <w:rsid w:val="009166E1"/>
    <w:rsid w:val="009207F9"/>
    <w:rsid w:val="00921217"/>
    <w:rsid w:val="00926AC5"/>
    <w:rsid w:val="00926B71"/>
    <w:rsid w:val="009271C8"/>
    <w:rsid w:val="009279F6"/>
    <w:rsid w:val="00927DEA"/>
    <w:rsid w:val="0093112D"/>
    <w:rsid w:val="00933587"/>
    <w:rsid w:val="0093360A"/>
    <w:rsid w:val="009363CC"/>
    <w:rsid w:val="009379C0"/>
    <w:rsid w:val="00941741"/>
    <w:rsid w:val="009448EB"/>
    <w:rsid w:val="00945266"/>
    <w:rsid w:val="00945742"/>
    <w:rsid w:val="00954CA5"/>
    <w:rsid w:val="00955509"/>
    <w:rsid w:val="0095593C"/>
    <w:rsid w:val="00955B80"/>
    <w:rsid w:val="00957779"/>
    <w:rsid w:val="00957D8B"/>
    <w:rsid w:val="00960D7B"/>
    <w:rsid w:val="0096143E"/>
    <w:rsid w:val="0096176B"/>
    <w:rsid w:val="0096313F"/>
    <w:rsid w:val="009674D0"/>
    <w:rsid w:val="0096756F"/>
    <w:rsid w:val="009704E3"/>
    <w:rsid w:val="00972077"/>
    <w:rsid w:val="0097549C"/>
    <w:rsid w:val="00975CAB"/>
    <w:rsid w:val="00976E47"/>
    <w:rsid w:val="00977E23"/>
    <w:rsid w:val="00980872"/>
    <w:rsid w:val="00981069"/>
    <w:rsid w:val="009810AF"/>
    <w:rsid w:val="00982135"/>
    <w:rsid w:val="009834F5"/>
    <w:rsid w:val="00985F1B"/>
    <w:rsid w:val="009874C6"/>
    <w:rsid w:val="009877D5"/>
    <w:rsid w:val="00990999"/>
    <w:rsid w:val="00991EA3"/>
    <w:rsid w:val="00993FF3"/>
    <w:rsid w:val="009950D9"/>
    <w:rsid w:val="0099616B"/>
    <w:rsid w:val="00996668"/>
    <w:rsid w:val="00996F1C"/>
    <w:rsid w:val="009978EA"/>
    <w:rsid w:val="009A317E"/>
    <w:rsid w:val="009A5429"/>
    <w:rsid w:val="009A6462"/>
    <w:rsid w:val="009A77F6"/>
    <w:rsid w:val="009B026F"/>
    <w:rsid w:val="009B164B"/>
    <w:rsid w:val="009B356B"/>
    <w:rsid w:val="009B39BF"/>
    <w:rsid w:val="009B39CD"/>
    <w:rsid w:val="009B39F5"/>
    <w:rsid w:val="009B5670"/>
    <w:rsid w:val="009B58A3"/>
    <w:rsid w:val="009B653B"/>
    <w:rsid w:val="009B6D22"/>
    <w:rsid w:val="009B7638"/>
    <w:rsid w:val="009B7F92"/>
    <w:rsid w:val="009C05F5"/>
    <w:rsid w:val="009C158F"/>
    <w:rsid w:val="009C16C0"/>
    <w:rsid w:val="009C1FD9"/>
    <w:rsid w:val="009C2059"/>
    <w:rsid w:val="009C2E39"/>
    <w:rsid w:val="009C4579"/>
    <w:rsid w:val="009C489C"/>
    <w:rsid w:val="009C4DE9"/>
    <w:rsid w:val="009C565E"/>
    <w:rsid w:val="009C5B49"/>
    <w:rsid w:val="009C5F0B"/>
    <w:rsid w:val="009C6260"/>
    <w:rsid w:val="009C65B6"/>
    <w:rsid w:val="009D0B39"/>
    <w:rsid w:val="009D10A7"/>
    <w:rsid w:val="009D2399"/>
    <w:rsid w:val="009D2499"/>
    <w:rsid w:val="009D3402"/>
    <w:rsid w:val="009D4DE3"/>
    <w:rsid w:val="009D7265"/>
    <w:rsid w:val="009D760D"/>
    <w:rsid w:val="009D79B4"/>
    <w:rsid w:val="009E04AB"/>
    <w:rsid w:val="009E17C3"/>
    <w:rsid w:val="009E2472"/>
    <w:rsid w:val="009E288B"/>
    <w:rsid w:val="009E3B7A"/>
    <w:rsid w:val="009E4CCE"/>
    <w:rsid w:val="009E563C"/>
    <w:rsid w:val="009E6FC5"/>
    <w:rsid w:val="009E7C0B"/>
    <w:rsid w:val="009E7F63"/>
    <w:rsid w:val="009F3021"/>
    <w:rsid w:val="009F3134"/>
    <w:rsid w:val="009F466E"/>
    <w:rsid w:val="009F4ED5"/>
    <w:rsid w:val="009F62EF"/>
    <w:rsid w:val="00A01E3B"/>
    <w:rsid w:val="00A029E4"/>
    <w:rsid w:val="00A02F52"/>
    <w:rsid w:val="00A03BAA"/>
    <w:rsid w:val="00A04157"/>
    <w:rsid w:val="00A04A14"/>
    <w:rsid w:val="00A057EC"/>
    <w:rsid w:val="00A05AE2"/>
    <w:rsid w:val="00A06A92"/>
    <w:rsid w:val="00A10003"/>
    <w:rsid w:val="00A102C1"/>
    <w:rsid w:val="00A10586"/>
    <w:rsid w:val="00A11137"/>
    <w:rsid w:val="00A11F6B"/>
    <w:rsid w:val="00A14955"/>
    <w:rsid w:val="00A1729D"/>
    <w:rsid w:val="00A2031C"/>
    <w:rsid w:val="00A211C9"/>
    <w:rsid w:val="00A21329"/>
    <w:rsid w:val="00A2207B"/>
    <w:rsid w:val="00A22118"/>
    <w:rsid w:val="00A242E1"/>
    <w:rsid w:val="00A24FC1"/>
    <w:rsid w:val="00A25947"/>
    <w:rsid w:val="00A26CC7"/>
    <w:rsid w:val="00A26DF1"/>
    <w:rsid w:val="00A26E37"/>
    <w:rsid w:val="00A26F71"/>
    <w:rsid w:val="00A30373"/>
    <w:rsid w:val="00A30F7A"/>
    <w:rsid w:val="00A34A86"/>
    <w:rsid w:val="00A36ED9"/>
    <w:rsid w:val="00A379DD"/>
    <w:rsid w:val="00A37B79"/>
    <w:rsid w:val="00A37C51"/>
    <w:rsid w:val="00A37CA5"/>
    <w:rsid w:val="00A437E4"/>
    <w:rsid w:val="00A44228"/>
    <w:rsid w:val="00A45272"/>
    <w:rsid w:val="00A463F6"/>
    <w:rsid w:val="00A4671C"/>
    <w:rsid w:val="00A473F2"/>
    <w:rsid w:val="00A4757B"/>
    <w:rsid w:val="00A50544"/>
    <w:rsid w:val="00A53858"/>
    <w:rsid w:val="00A543E6"/>
    <w:rsid w:val="00A549E1"/>
    <w:rsid w:val="00A556A3"/>
    <w:rsid w:val="00A557F9"/>
    <w:rsid w:val="00A57161"/>
    <w:rsid w:val="00A6154E"/>
    <w:rsid w:val="00A6236D"/>
    <w:rsid w:val="00A66830"/>
    <w:rsid w:val="00A702F3"/>
    <w:rsid w:val="00A70DD6"/>
    <w:rsid w:val="00A71906"/>
    <w:rsid w:val="00A71957"/>
    <w:rsid w:val="00A729A2"/>
    <w:rsid w:val="00A743DC"/>
    <w:rsid w:val="00A7479A"/>
    <w:rsid w:val="00A74D38"/>
    <w:rsid w:val="00A75C49"/>
    <w:rsid w:val="00A77EBB"/>
    <w:rsid w:val="00A802C3"/>
    <w:rsid w:val="00A80501"/>
    <w:rsid w:val="00A815CB"/>
    <w:rsid w:val="00A81631"/>
    <w:rsid w:val="00A82ABE"/>
    <w:rsid w:val="00A83FBF"/>
    <w:rsid w:val="00A8758C"/>
    <w:rsid w:val="00A87DC4"/>
    <w:rsid w:val="00A91BB9"/>
    <w:rsid w:val="00A928BC"/>
    <w:rsid w:val="00A95D8E"/>
    <w:rsid w:val="00A97687"/>
    <w:rsid w:val="00AA0535"/>
    <w:rsid w:val="00AA1B7A"/>
    <w:rsid w:val="00AA1FBC"/>
    <w:rsid w:val="00AA226F"/>
    <w:rsid w:val="00AA2828"/>
    <w:rsid w:val="00AA2E25"/>
    <w:rsid w:val="00AA4522"/>
    <w:rsid w:val="00AA470D"/>
    <w:rsid w:val="00AA6092"/>
    <w:rsid w:val="00AA70AD"/>
    <w:rsid w:val="00AA747C"/>
    <w:rsid w:val="00AB11E7"/>
    <w:rsid w:val="00AB1864"/>
    <w:rsid w:val="00AB34C8"/>
    <w:rsid w:val="00AB406B"/>
    <w:rsid w:val="00AB53D8"/>
    <w:rsid w:val="00AB5C79"/>
    <w:rsid w:val="00AB7C9D"/>
    <w:rsid w:val="00AC2340"/>
    <w:rsid w:val="00AC2901"/>
    <w:rsid w:val="00AC4597"/>
    <w:rsid w:val="00AC4D8B"/>
    <w:rsid w:val="00AC7EE9"/>
    <w:rsid w:val="00AD2A04"/>
    <w:rsid w:val="00AD4C34"/>
    <w:rsid w:val="00AD528D"/>
    <w:rsid w:val="00AD6691"/>
    <w:rsid w:val="00AD715C"/>
    <w:rsid w:val="00AE053E"/>
    <w:rsid w:val="00AE05A3"/>
    <w:rsid w:val="00AE0ADC"/>
    <w:rsid w:val="00AE1F16"/>
    <w:rsid w:val="00AE451A"/>
    <w:rsid w:val="00AE4DCA"/>
    <w:rsid w:val="00AE5DA9"/>
    <w:rsid w:val="00AE6B35"/>
    <w:rsid w:val="00AE7595"/>
    <w:rsid w:val="00AF0518"/>
    <w:rsid w:val="00AF058B"/>
    <w:rsid w:val="00AF18F2"/>
    <w:rsid w:val="00AF1DCD"/>
    <w:rsid w:val="00AF3ACB"/>
    <w:rsid w:val="00AF5E2C"/>
    <w:rsid w:val="00AF793D"/>
    <w:rsid w:val="00B015AA"/>
    <w:rsid w:val="00B027E5"/>
    <w:rsid w:val="00B03699"/>
    <w:rsid w:val="00B03EC2"/>
    <w:rsid w:val="00B05427"/>
    <w:rsid w:val="00B05E55"/>
    <w:rsid w:val="00B06AFA"/>
    <w:rsid w:val="00B07220"/>
    <w:rsid w:val="00B1016F"/>
    <w:rsid w:val="00B10415"/>
    <w:rsid w:val="00B109CF"/>
    <w:rsid w:val="00B11103"/>
    <w:rsid w:val="00B11964"/>
    <w:rsid w:val="00B12F47"/>
    <w:rsid w:val="00B13481"/>
    <w:rsid w:val="00B17E92"/>
    <w:rsid w:val="00B20BD7"/>
    <w:rsid w:val="00B2129E"/>
    <w:rsid w:val="00B22402"/>
    <w:rsid w:val="00B23E6D"/>
    <w:rsid w:val="00B24333"/>
    <w:rsid w:val="00B254CB"/>
    <w:rsid w:val="00B2577E"/>
    <w:rsid w:val="00B30469"/>
    <w:rsid w:val="00B330EB"/>
    <w:rsid w:val="00B3329D"/>
    <w:rsid w:val="00B34AC2"/>
    <w:rsid w:val="00B34DF7"/>
    <w:rsid w:val="00B3558C"/>
    <w:rsid w:val="00B35C74"/>
    <w:rsid w:val="00B36076"/>
    <w:rsid w:val="00B43125"/>
    <w:rsid w:val="00B44147"/>
    <w:rsid w:val="00B445D4"/>
    <w:rsid w:val="00B44870"/>
    <w:rsid w:val="00B450B4"/>
    <w:rsid w:val="00B472E6"/>
    <w:rsid w:val="00B47E4D"/>
    <w:rsid w:val="00B5262F"/>
    <w:rsid w:val="00B53CC4"/>
    <w:rsid w:val="00B54FEC"/>
    <w:rsid w:val="00B55E5B"/>
    <w:rsid w:val="00B61F37"/>
    <w:rsid w:val="00B63EB0"/>
    <w:rsid w:val="00B6466B"/>
    <w:rsid w:val="00B654EB"/>
    <w:rsid w:val="00B655D9"/>
    <w:rsid w:val="00B655EB"/>
    <w:rsid w:val="00B66546"/>
    <w:rsid w:val="00B66E26"/>
    <w:rsid w:val="00B714BA"/>
    <w:rsid w:val="00B73447"/>
    <w:rsid w:val="00B73F02"/>
    <w:rsid w:val="00B7520E"/>
    <w:rsid w:val="00B80120"/>
    <w:rsid w:val="00B80ABF"/>
    <w:rsid w:val="00B8393C"/>
    <w:rsid w:val="00B83D80"/>
    <w:rsid w:val="00B85DC1"/>
    <w:rsid w:val="00B87AF7"/>
    <w:rsid w:val="00B87C94"/>
    <w:rsid w:val="00B90C7F"/>
    <w:rsid w:val="00B90D00"/>
    <w:rsid w:val="00B923C1"/>
    <w:rsid w:val="00B92678"/>
    <w:rsid w:val="00B95481"/>
    <w:rsid w:val="00B96FB5"/>
    <w:rsid w:val="00B978F4"/>
    <w:rsid w:val="00BA05FF"/>
    <w:rsid w:val="00BA08A5"/>
    <w:rsid w:val="00BA3115"/>
    <w:rsid w:val="00BA781C"/>
    <w:rsid w:val="00BA7F57"/>
    <w:rsid w:val="00BB0D8D"/>
    <w:rsid w:val="00BB2932"/>
    <w:rsid w:val="00BB3C83"/>
    <w:rsid w:val="00BB71B8"/>
    <w:rsid w:val="00BB7646"/>
    <w:rsid w:val="00BB7F74"/>
    <w:rsid w:val="00BC071B"/>
    <w:rsid w:val="00BC0F29"/>
    <w:rsid w:val="00BC244D"/>
    <w:rsid w:val="00BC2EBD"/>
    <w:rsid w:val="00BC3B29"/>
    <w:rsid w:val="00BC40B9"/>
    <w:rsid w:val="00BC4DE7"/>
    <w:rsid w:val="00BC5B06"/>
    <w:rsid w:val="00BC68A0"/>
    <w:rsid w:val="00BD4A0C"/>
    <w:rsid w:val="00BD4D7F"/>
    <w:rsid w:val="00BD55AA"/>
    <w:rsid w:val="00BD65A3"/>
    <w:rsid w:val="00BD747A"/>
    <w:rsid w:val="00BE15ED"/>
    <w:rsid w:val="00BE4707"/>
    <w:rsid w:val="00BE68C5"/>
    <w:rsid w:val="00BF0057"/>
    <w:rsid w:val="00BF0A86"/>
    <w:rsid w:val="00BF17A4"/>
    <w:rsid w:val="00BF515A"/>
    <w:rsid w:val="00BF66D2"/>
    <w:rsid w:val="00BF772A"/>
    <w:rsid w:val="00C00088"/>
    <w:rsid w:val="00C00897"/>
    <w:rsid w:val="00C00D5B"/>
    <w:rsid w:val="00C015CA"/>
    <w:rsid w:val="00C01E58"/>
    <w:rsid w:val="00C02753"/>
    <w:rsid w:val="00C03158"/>
    <w:rsid w:val="00C03721"/>
    <w:rsid w:val="00C04056"/>
    <w:rsid w:val="00C0407B"/>
    <w:rsid w:val="00C05657"/>
    <w:rsid w:val="00C05D6F"/>
    <w:rsid w:val="00C066FA"/>
    <w:rsid w:val="00C0678D"/>
    <w:rsid w:val="00C106A2"/>
    <w:rsid w:val="00C10E9B"/>
    <w:rsid w:val="00C11521"/>
    <w:rsid w:val="00C13F67"/>
    <w:rsid w:val="00C15A12"/>
    <w:rsid w:val="00C17B89"/>
    <w:rsid w:val="00C20A9E"/>
    <w:rsid w:val="00C212D9"/>
    <w:rsid w:val="00C21DDB"/>
    <w:rsid w:val="00C228BE"/>
    <w:rsid w:val="00C24DA8"/>
    <w:rsid w:val="00C27675"/>
    <w:rsid w:val="00C2789F"/>
    <w:rsid w:val="00C31EBD"/>
    <w:rsid w:val="00C330F9"/>
    <w:rsid w:val="00C33F43"/>
    <w:rsid w:val="00C34ED7"/>
    <w:rsid w:val="00C35756"/>
    <w:rsid w:val="00C35BF5"/>
    <w:rsid w:val="00C379DF"/>
    <w:rsid w:val="00C4004C"/>
    <w:rsid w:val="00C40BB6"/>
    <w:rsid w:val="00C41B95"/>
    <w:rsid w:val="00C45AB3"/>
    <w:rsid w:val="00C45BDD"/>
    <w:rsid w:val="00C46620"/>
    <w:rsid w:val="00C516D7"/>
    <w:rsid w:val="00C5269E"/>
    <w:rsid w:val="00C5302C"/>
    <w:rsid w:val="00C5359B"/>
    <w:rsid w:val="00C53622"/>
    <w:rsid w:val="00C53D83"/>
    <w:rsid w:val="00C54FE9"/>
    <w:rsid w:val="00C56200"/>
    <w:rsid w:val="00C5707D"/>
    <w:rsid w:val="00C61324"/>
    <w:rsid w:val="00C61F7C"/>
    <w:rsid w:val="00C6432A"/>
    <w:rsid w:val="00C64ED2"/>
    <w:rsid w:val="00C6530E"/>
    <w:rsid w:val="00C67323"/>
    <w:rsid w:val="00C7174E"/>
    <w:rsid w:val="00C72E3C"/>
    <w:rsid w:val="00C73100"/>
    <w:rsid w:val="00C736A6"/>
    <w:rsid w:val="00C74FF9"/>
    <w:rsid w:val="00C764BE"/>
    <w:rsid w:val="00C805E8"/>
    <w:rsid w:val="00C807C9"/>
    <w:rsid w:val="00C81077"/>
    <w:rsid w:val="00C825D6"/>
    <w:rsid w:val="00C82951"/>
    <w:rsid w:val="00C82E32"/>
    <w:rsid w:val="00C841F6"/>
    <w:rsid w:val="00C854DA"/>
    <w:rsid w:val="00C8705E"/>
    <w:rsid w:val="00C91E3D"/>
    <w:rsid w:val="00C959B0"/>
    <w:rsid w:val="00C96685"/>
    <w:rsid w:val="00C977D8"/>
    <w:rsid w:val="00C978FA"/>
    <w:rsid w:val="00C97AE2"/>
    <w:rsid w:val="00C97AF6"/>
    <w:rsid w:val="00C97E67"/>
    <w:rsid w:val="00CA08B3"/>
    <w:rsid w:val="00CA2712"/>
    <w:rsid w:val="00CA3F8D"/>
    <w:rsid w:val="00CA4EFD"/>
    <w:rsid w:val="00CA534A"/>
    <w:rsid w:val="00CA54AC"/>
    <w:rsid w:val="00CA709C"/>
    <w:rsid w:val="00CA77E4"/>
    <w:rsid w:val="00CB0F24"/>
    <w:rsid w:val="00CB1D74"/>
    <w:rsid w:val="00CB424A"/>
    <w:rsid w:val="00CB47AF"/>
    <w:rsid w:val="00CB6FB8"/>
    <w:rsid w:val="00CB782A"/>
    <w:rsid w:val="00CC332C"/>
    <w:rsid w:val="00CC3AA2"/>
    <w:rsid w:val="00CC4A35"/>
    <w:rsid w:val="00CC59D3"/>
    <w:rsid w:val="00CD0568"/>
    <w:rsid w:val="00CD08C2"/>
    <w:rsid w:val="00CD2E99"/>
    <w:rsid w:val="00CD7918"/>
    <w:rsid w:val="00CE22B9"/>
    <w:rsid w:val="00CE2CB5"/>
    <w:rsid w:val="00CE418F"/>
    <w:rsid w:val="00CE5F8F"/>
    <w:rsid w:val="00CE6BAD"/>
    <w:rsid w:val="00CE7163"/>
    <w:rsid w:val="00CE7750"/>
    <w:rsid w:val="00CE7895"/>
    <w:rsid w:val="00CF02B0"/>
    <w:rsid w:val="00CF149D"/>
    <w:rsid w:val="00CF2914"/>
    <w:rsid w:val="00CF3A45"/>
    <w:rsid w:val="00CF4AD5"/>
    <w:rsid w:val="00CF51DB"/>
    <w:rsid w:val="00CF7221"/>
    <w:rsid w:val="00CF7986"/>
    <w:rsid w:val="00CF7CC9"/>
    <w:rsid w:val="00D00AA0"/>
    <w:rsid w:val="00D00B89"/>
    <w:rsid w:val="00D01527"/>
    <w:rsid w:val="00D02C99"/>
    <w:rsid w:val="00D05F53"/>
    <w:rsid w:val="00D062E2"/>
    <w:rsid w:val="00D0712A"/>
    <w:rsid w:val="00D076CD"/>
    <w:rsid w:val="00D0782D"/>
    <w:rsid w:val="00D117B3"/>
    <w:rsid w:val="00D126F7"/>
    <w:rsid w:val="00D14277"/>
    <w:rsid w:val="00D156E9"/>
    <w:rsid w:val="00D17919"/>
    <w:rsid w:val="00D20024"/>
    <w:rsid w:val="00D20AE6"/>
    <w:rsid w:val="00D20B62"/>
    <w:rsid w:val="00D20C3A"/>
    <w:rsid w:val="00D230ED"/>
    <w:rsid w:val="00D2494A"/>
    <w:rsid w:val="00D25032"/>
    <w:rsid w:val="00D25DEF"/>
    <w:rsid w:val="00D25F5F"/>
    <w:rsid w:val="00D26F16"/>
    <w:rsid w:val="00D278B5"/>
    <w:rsid w:val="00D309EE"/>
    <w:rsid w:val="00D31DB2"/>
    <w:rsid w:val="00D322F0"/>
    <w:rsid w:val="00D326CC"/>
    <w:rsid w:val="00D33647"/>
    <w:rsid w:val="00D33ED7"/>
    <w:rsid w:val="00D34068"/>
    <w:rsid w:val="00D3408C"/>
    <w:rsid w:val="00D405C3"/>
    <w:rsid w:val="00D40B3F"/>
    <w:rsid w:val="00D41B3E"/>
    <w:rsid w:val="00D423A0"/>
    <w:rsid w:val="00D42CC4"/>
    <w:rsid w:val="00D42D80"/>
    <w:rsid w:val="00D432DA"/>
    <w:rsid w:val="00D46A0B"/>
    <w:rsid w:val="00D46A8C"/>
    <w:rsid w:val="00D500A5"/>
    <w:rsid w:val="00D509A9"/>
    <w:rsid w:val="00D54C8D"/>
    <w:rsid w:val="00D55EED"/>
    <w:rsid w:val="00D5636D"/>
    <w:rsid w:val="00D577CC"/>
    <w:rsid w:val="00D612AA"/>
    <w:rsid w:val="00D61CB1"/>
    <w:rsid w:val="00D62E8F"/>
    <w:rsid w:val="00D63439"/>
    <w:rsid w:val="00D641FE"/>
    <w:rsid w:val="00D65FEF"/>
    <w:rsid w:val="00D66346"/>
    <w:rsid w:val="00D734AF"/>
    <w:rsid w:val="00D75AB8"/>
    <w:rsid w:val="00D75E7F"/>
    <w:rsid w:val="00D812C8"/>
    <w:rsid w:val="00D827A3"/>
    <w:rsid w:val="00D82A2E"/>
    <w:rsid w:val="00D83DD0"/>
    <w:rsid w:val="00D84D8D"/>
    <w:rsid w:val="00D869EF"/>
    <w:rsid w:val="00D86C60"/>
    <w:rsid w:val="00D878DE"/>
    <w:rsid w:val="00D904E8"/>
    <w:rsid w:val="00D9096E"/>
    <w:rsid w:val="00D92438"/>
    <w:rsid w:val="00D9349C"/>
    <w:rsid w:val="00D9585F"/>
    <w:rsid w:val="00D95942"/>
    <w:rsid w:val="00D96061"/>
    <w:rsid w:val="00D96E3B"/>
    <w:rsid w:val="00D97139"/>
    <w:rsid w:val="00DA0B5B"/>
    <w:rsid w:val="00DA2131"/>
    <w:rsid w:val="00DA263C"/>
    <w:rsid w:val="00DA2B1C"/>
    <w:rsid w:val="00DA596A"/>
    <w:rsid w:val="00DA60FB"/>
    <w:rsid w:val="00DA71A7"/>
    <w:rsid w:val="00DA7C8A"/>
    <w:rsid w:val="00DB1202"/>
    <w:rsid w:val="00DB1570"/>
    <w:rsid w:val="00DB18A2"/>
    <w:rsid w:val="00DB1D3B"/>
    <w:rsid w:val="00DB1DEF"/>
    <w:rsid w:val="00DB2003"/>
    <w:rsid w:val="00DB3311"/>
    <w:rsid w:val="00DB41F6"/>
    <w:rsid w:val="00DB5D47"/>
    <w:rsid w:val="00DC0692"/>
    <w:rsid w:val="00DC0702"/>
    <w:rsid w:val="00DC08F8"/>
    <w:rsid w:val="00DC0A97"/>
    <w:rsid w:val="00DC1017"/>
    <w:rsid w:val="00DC1CA2"/>
    <w:rsid w:val="00DC2AB4"/>
    <w:rsid w:val="00DC323D"/>
    <w:rsid w:val="00DC5404"/>
    <w:rsid w:val="00DC58A0"/>
    <w:rsid w:val="00DC764C"/>
    <w:rsid w:val="00DD180D"/>
    <w:rsid w:val="00DD2084"/>
    <w:rsid w:val="00DD2A9B"/>
    <w:rsid w:val="00DD2DA2"/>
    <w:rsid w:val="00DD38A9"/>
    <w:rsid w:val="00DD62BF"/>
    <w:rsid w:val="00DD6915"/>
    <w:rsid w:val="00DE1400"/>
    <w:rsid w:val="00DE2005"/>
    <w:rsid w:val="00DE22EB"/>
    <w:rsid w:val="00DE44A8"/>
    <w:rsid w:val="00DE4563"/>
    <w:rsid w:val="00DE501E"/>
    <w:rsid w:val="00DE57BB"/>
    <w:rsid w:val="00DE66E1"/>
    <w:rsid w:val="00DE6CB9"/>
    <w:rsid w:val="00DE7DB5"/>
    <w:rsid w:val="00DF01A5"/>
    <w:rsid w:val="00DF0D0E"/>
    <w:rsid w:val="00DF1A80"/>
    <w:rsid w:val="00DF1A93"/>
    <w:rsid w:val="00DF3B7A"/>
    <w:rsid w:val="00DF50A0"/>
    <w:rsid w:val="00E01A16"/>
    <w:rsid w:val="00E025ED"/>
    <w:rsid w:val="00E0290D"/>
    <w:rsid w:val="00E02B2F"/>
    <w:rsid w:val="00E02C4F"/>
    <w:rsid w:val="00E02DE4"/>
    <w:rsid w:val="00E06519"/>
    <w:rsid w:val="00E0699D"/>
    <w:rsid w:val="00E0721E"/>
    <w:rsid w:val="00E07A2E"/>
    <w:rsid w:val="00E139D7"/>
    <w:rsid w:val="00E16C6B"/>
    <w:rsid w:val="00E176F6"/>
    <w:rsid w:val="00E17BFF"/>
    <w:rsid w:val="00E2009B"/>
    <w:rsid w:val="00E229E4"/>
    <w:rsid w:val="00E22E14"/>
    <w:rsid w:val="00E23A6D"/>
    <w:rsid w:val="00E24E7B"/>
    <w:rsid w:val="00E31781"/>
    <w:rsid w:val="00E320EF"/>
    <w:rsid w:val="00E3293A"/>
    <w:rsid w:val="00E332E9"/>
    <w:rsid w:val="00E368C9"/>
    <w:rsid w:val="00E376B6"/>
    <w:rsid w:val="00E37CF5"/>
    <w:rsid w:val="00E414A1"/>
    <w:rsid w:val="00E43CB6"/>
    <w:rsid w:val="00E445C1"/>
    <w:rsid w:val="00E448F7"/>
    <w:rsid w:val="00E44FF4"/>
    <w:rsid w:val="00E451AE"/>
    <w:rsid w:val="00E4581A"/>
    <w:rsid w:val="00E477E8"/>
    <w:rsid w:val="00E51A7A"/>
    <w:rsid w:val="00E52A29"/>
    <w:rsid w:val="00E52AD3"/>
    <w:rsid w:val="00E52E48"/>
    <w:rsid w:val="00E5374B"/>
    <w:rsid w:val="00E5493C"/>
    <w:rsid w:val="00E55DB8"/>
    <w:rsid w:val="00E55E3E"/>
    <w:rsid w:val="00E572F4"/>
    <w:rsid w:val="00E61248"/>
    <w:rsid w:val="00E63789"/>
    <w:rsid w:val="00E641CD"/>
    <w:rsid w:val="00E642C0"/>
    <w:rsid w:val="00E64BB7"/>
    <w:rsid w:val="00E650B2"/>
    <w:rsid w:val="00E65AB9"/>
    <w:rsid w:val="00E664A6"/>
    <w:rsid w:val="00E670A2"/>
    <w:rsid w:val="00E73226"/>
    <w:rsid w:val="00E76B3C"/>
    <w:rsid w:val="00E771F6"/>
    <w:rsid w:val="00E773C6"/>
    <w:rsid w:val="00E804EC"/>
    <w:rsid w:val="00E80567"/>
    <w:rsid w:val="00E806B5"/>
    <w:rsid w:val="00E81322"/>
    <w:rsid w:val="00E81B9A"/>
    <w:rsid w:val="00E82C42"/>
    <w:rsid w:val="00E847A7"/>
    <w:rsid w:val="00E8622C"/>
    <w:rsid w:val="00E87E5D"/>
    <w:rsid w:val="00E93230"/>
    <w:rsid w:val="00E945A4"/>
    <w:rsid w:val="00E94835"/>
    <w:rsid w:val="00E949A2"/>
    <w:rsid w:val="00E96B34"/>
    <w:rsid w:val="00EA28F0"/>
    <w:rsid w:val="00EA4FF1"/>
    <w:rsid w:val="00EA5C59"/>
    <w:rsid w:val="00EA5FD0"/>
    <w:rsid w:val="00EA6255"/>
    <w:rsid w:val="00EA6A18"/>
    <w:rsid w:val="00EB066B"/>
    <w:rsid w:val="00EB29F2"/>
    <w:rsid w:val="00EB2B27"/>
    <w:rsid w:val="00EB4099"/>
    <w:rsid w:val="00EB4127"/>
    <w:rsid w:val="00EB421A"/>
    <w:rsid w:val="00EB42D1"/>
    <w:rsid w:val="00EB4A9F"/>
    <w:rsid w:val="00EB534D"/>
    <w:rsid w:val="00EB54BC"/>
    <w:rsid w:val="00EB5A9C"/>
    <w:rsid w:val="00EB7C83"/>
    <w:rsid w:val="00EC0F40"/>
    <w:rsid w:val="00EC14E9"/>
    <w:rsid w:val="00EC330B"/>
    <w:rsid w:val="00EC492F"/>
    <w:rsid w:val="00EC4FC3"/>
    <w:rsid w:val="00ED0422"/>
    <w:rsid w:val="00ED0A52"/>
    <w:rsid w:val="00ED0DEE"/>
    <w:rsid w:val="00ED249A"/>
    <w:rsid w:val="00ED2BFC"/>
    <w:rsid w:val="00ED2D82"/>
    <w:rsid w:val="00ED33DF"/>
    <w:rsid w:val="00ED3628"/>
    <w:rsid w:val="00ED3D17"/>
    <w:rsid w:val="00ED3F30"/>
    <w:rsid w:val="00ED437D"/>
    <w:rsid w:val="00ED49E8"/>
    <w:rsid w:val="00ED4CF3"/>
    <w:rsid w:val="00ED5F47"/>
    <w:rsid w:val="00ED66A5"/>
    <w:rsid w:val="00ED6794"/>
    <w:rsid w:val="00ED6813"/>
    <w:rsid w:val="00ED6CC6"/>
    <w:rsid w:val="00EE245B"/>
    <w:rsid w:val="00EE274B"/>
    <w:rsid w:val="00EE29C5"/>
    <w:rsid w:val="00EE32DF"/>
    <w:rsid w:val="00EE3BF7"/>
    <w:rsid w:val="00EE5B06"/>
    <w:rsid w:val="00EE6847"/>
    <w:rsid w:val="00EE7629"/>
    <w:rsid w:val="00EF04C6"/>
    <w:rsid w:val="00EF47DC"/>
    <w:rsid w:val="00EF591C"/>
    <w:rsid w:val="00EF6E35"/>
    <w:rsid w:val="00EF73D6"/>
    <w:rsid w:val="00EF7BC5"/>
    <w:rsid w:val="00F01BD4"/>
    <w:rsid w:val="00F02F95"/>
    <w:rsid w:val="00F0305C"/>
    <w:rsid w:val="00F043F8"/>
    <w:rsid w:val="00F05902"/>
    <w:rsid w:val="00F105E9"/>
    <w:rsid w:val="00F10663"/>
    <w:rsid w:val="00F11366"/>
    <w:rsid w:val="00F120DB"/>
    <w:rsid w:val="00F1223C"/>
    <w:rsid w:val="00F124E5"/>
    <w:rsid w:val="00F12FD1"/>
    <w:rsid w:val="00F13E3A"/>
    <w:rsid w:val="00F140F7"/>
    <w:rsid w:val="00F16036"/>
    <w:rsid w:val="00F16749"/>
    <w:rsid w:val="00F172B5"/>
    <w:rsid w:val="00F208BC"/>
    <w:rsid w:val="00F20AF9"/>
    <w:rsid w:val="00F23AFA"/>
    <w:rsid w:val="00F23E82"/>
    <w:rsid w:val="00F240D1"/>
    <w:rsid w:val="00F24113"/>
    <w:rsid w:val="00F246DC"/>
    <w:rsid w:val="00F26260"/>
    <w:rsid w:val="00F273B9"/>
    <w:rsid w:val="00F275AB"/>
    <w:rsid w:val="00F30AEA"/>
    <w:rsid w:val="00F32E76"/>
    <w:rsid w:val="00F33ECD"/>
    <w:rsid w:val="00F33EE6"/>
    <w:rsid w:val="00F34AF9"/>
    <w:rsid w:val="00F37AE7"/>
    <w:rsid w:val="00F37F32"/>
    <w:rsid w:val="00F40AB5"/>
    <w:rsid w:val="00F4150C"/>
    <w:rsid w:val="00F4312C"/>
    <w:rsid w:val="00F46FC9"/>
    <w:rsid w:val="00F4700B"/>
    <w:rsid w:val="00F4776C"/>
    <w:rsid w:val="00F5142B"/>
    <w:rsid w:val="00F518F5"/>
    <w:rsid w:val="00F5255E"/>
    <w:rsid w:val="00F53F48"/>
    <w:rsid w:val="00F54441"/>
    <w:rsid w:val="00F54B6B"/>
    <w:rsid w:val="00F55661"/>
    <w:rsid w:val="00F56EDE"/>
    <w:rsid w:val="00F5732F"/>
    <w:rsid w:val="00F5782C"/>
    <w:rsid w:val="00F60FC8"/>
    <w:rsid w:val="00F61269"/>
    <w:rsid w:val="00F628F3"/>
    <w:rsid w:val="00F6322E"/>
    <w:rsid w:val="00F67207"/>
    <w:rsid w:val="00F67245"/>
    <w:rsid w:val="00F675EC"/>
    <w:rsid w:val="00F71200"/>
    <w:rsid w:val="00F7242E"/>
    <w:rsid w:val="00F726A3"/>
    <w:rsid w:val="00F7279E"/>
    <w:rsid w:val="00F72B84"/>
    <w:rsid w:val="00F72ED8"/>
    <w:rsid w:val="00F7321E"/>
    <w:rsid w:val="00F73BCE"/>
    <w:rsid w:val="00F75F0C"/>
    <w:rsid w:val="00F769B7"/>
    <w:rsid w:val="00F77A48"/>
    <w:rsid w:val="00F80267"/>
    <w:rsid w:val="00F818E5"/>
    <w:rsid w:val="00F8330A"/>
    <w:rsid w:val="00F84AFF"/>
    <w:rsid w:val="00F8538A"/>
    <w:rsid w:val="00F90F7E"/>
    <w:rsid w:val="00F91C0B"/>
    <w:rsid w:val="00F91D0B"/>
    <w:rsid w:val="00F94182"/>
    <w:rsid w:val="00F9743E"/>
    <w:rsid w:val="00FA1CF3"/>
    <w:rsid w:val="00FA3D3F"/>
    <w:rsid w:val="00FA6D6D"/>
    <w:rsid w:val="00FA775D"/>
    <w:rsid w:val="00FA79E8"/>
    <w:rsid w:val="00FB1E9C"/>
    <w:rsid w:val="00FB3DA6"/>
    <w:rsid w:val="00FB4E31"/>
    <w:rsid w:val="00FC0C4B"/>
    <w:rsid w:val="00FC0E49"/>
    <w:rsid w:val="00FC176F"/>
    <w:rsid w:val="00FC1E80"/>
    <w:rsid w:val="00FC28E6"/>
    <w:rsid w:val="00FC4CFC"/>
    <w:rsid w:val="00FC5439"/>
    <w:rsid w:val="00FC7785"/>
    <w:rsid w:val="00FD0F1B"/>
    <w:rsid w:val="00FD3672"/>
    <w:rsid w:val="00FD3921"/>
    <w:rsid w:val="00FD6409"/>
    <w:rsid w:val="00FD7CAA"/>
    <w:rsid w:val="00FE1610"/>
    <w:rsid w:val="00FE17CB"/>
    <w:rsid w:val="00FE1BB3"/>
    <w:rsid w:val="00FE2DEB"/>
    <w:rsid w:val="00FE314A"/>
    <w:rsid w:val="00FE7ACB"/>
    <w:rsid w:val="00FE7E33"/>
    <w:rsid w:val="00FF3D86"/>
    <w:rsid w:val="00FF3EF5"/>
    <w:rsid w:val="00FF46AB"/>
    <w:rsid w:val="00FF4F55"/>
    <w:rsid w:val="00FF53CC"/>
    <w:rsid w:val="654130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rPr>
      <w:kern w:val="2"/>
      <w:sz w:val="21"/>
      <w:szCs w:val="24"/>
    </w:rPr>
  </w:style>
  <w:style w:type="paragraph" w:styleId="1">
    <w:name w:val="heading 1"/>
    <w:basedOn w:val="a1"/>
    <w:next w:val="a1"/>
    <w:qFormat/>
    <w:pPr>
      <w:keepNext/>
      <w:keepLines/>
      <w:tabs>
        <w:tab w:val="left" w:pos="630"/>
      </w:tabs>
      <w:spacing w:beforeLines="150" w:before="360" w:afterLines="150" w:after="360" w:line="360" w:lineRule="auto"/>
      <w:jc w:val="center"/>
      <w:outlineLvl w:val="0"/>
    </w:pPr>
    <w:rPr>
      <w:rFonts w:ascii="Arial" w:hAnsi="Arial"/>
      <w:b/>
      <w:bCs/>
      <w:color w:val="000000"/>
      <w:kern w:val="44"/>
      <w:sz w:val="32"/>
      <w:szCs w:val="32"/>
    </w:rPr>
  </w:style>
  <w:style w:type="paragraph" w:styleId="2">
    <w:name w:val="heading 2"/>
    <w:basedOn w:val="a1"/>
    <w:next w:val="a1"/>
    <w:qFormat/>
    <w:pPr>
      <w:keepNext/>
      <w:keepLines/>
      <w:numPr>
        <w:ilvl w:val="1"/>
        <w:numId w:val="1"/>
      </w:numPr>
      <w:tabs>
        <w:tab w:val="left" w:pos="425"/>
      </w:tabs>
      <w:spacing w:beforeLines="50" w:before="120" w:afterLines="50" w:after="120" w:line="360" w:lineRule="auto"/>
      <w:outlineLvl w:val="1"/>
    </w:pPr>
    <w:rPr>
      <w:rFonts w:ascii="Arial" w:hAnsi="Arial"/>
      <w:b/>
      <w:bCs/>
      <w:sz w:val="30"/>
      <w:szCs w:val="30"/>
    </w:rPr>
  </w:style>
  <w:style w:type="paragraph" w:styleId="3">
    <w:name w:val="heading 3"/>
    <w:basedOn w:val="a1"/>
    <w:next w:val="a1"/>
    <w:qFormat/>
    <w:pPr>
      <w:keepNext/>
      <w:keepLines/>
      <w:numPr>
        <w:ilvl w:val="2"/>
        <w:numId w:val="1"/>
      </w:numPr>
      <w:tabs>
        <w:tab w:val="left" w:pos="425"/>
      </w:tabs>
      <w:spacing w:before="240" w:after="120" w:line="360" w:lineRule="auto"/>
      <w:outlineLvl w:val="2"/>
    </w:pPr>
    <w:rPr>
      <w:rFonts w:ascii="Arial" w:hAnsi="Arial"/>
      <w:b/>
      <w:bCs/>
      <w:sz w:val="28"/>
      <w:szCs w:val="28"/>
    </w:rPr>
  </w:style>
  <w:style w:type="paragraph" w:styleId="4">
    <w:name w:val="heading 4"/>
    <w:basedOn w:val="a1"/>
    <w:next w:val="a1"/>
    <w:link w:val="4Char"/>
    <w:qFormat/>
    <w:pPr>
      <w:keepNext/>
      <w:keepLines/>
      <w:numPr>
        <w:ilvl w:val="3"/>
        <w:numId w:val="1"/>
      </w:numPr>
      <w:tabs>
        <w:tab w:val="left" w:pos="425"/>
      </w:tabs>
      <w:spacing w:before="120" w:after="120" w:line="360" w:lineRule="auto"/>
      <w:outlineLvl w:val="3"/>
    </w:pPr>
    <w:rPr>
      <w:b/>
      <w:bCs/>
      <w:sz w:val="24"/>
    </w:rPr>
  </w:style>
  <w:style w:type="paragraph" w:styleId="5">
    <w:name w:val="heading 5"/>
    <w:basedOn w:val="a1"/>
    <w:next w:val="a1"/>
    <w:qFormat/>
    <w:pPr>
      <w:keepNext/>
      <w:keepLines/>
      <w:numPr>
        <w:ilvl w:val="4"/>
        <w:numId w:val="1"/>
      </w:numPr>
      <w:tabs>
        <w:tab w:val="left" w:pos="425"/>
      </w:tabs>
      <w:spacing w:before="280" w:after="290" w:line="376" w:lineRule="auto"/>
      <w:outlineLvl w:val="4"/>
    </w:pPr>
    <w:rPr>
      <w:b/>
      <w:bCs/>
      <w:sz w:val="24"/>
      <w:szCs w:val="28"/>
    </w:rPr>
  </w:style>
  <w:style w:type="paragraph" w:styleId="6">
    <w:name w:val="heading 6"/>
    <w:basedOn w:val="a1"/>
    <w:next w:val="a1"/>
    <w:qFormat/>
    <w:pPr>
      <w:keepNext/>
      <w:keepLines/>
      <w:numPr>
        <w:ilvl w:val="5"/>
        <w:numId w:val="1"/>
      </w:numPr>
      <w:tabs>
        <w:tab w:val="left" w:pos="425"/>
      </w:tabs>
      <w:spacing w:before="240" w:after="64" w:line="320" w:lineRule="auto"/>
      <w:outlineLvl w:val="5"/>
    </w:pPr>
    <w:rPr>
      <w:b/>
      <w:bCs/>
      <w:sz w:val="24"/>
    </w:rPr>
  </w:style>
  <w:style w:type="paragraph" w:styleId="7">
    <w:name w:val="heading 7"/>
    <w:basedOn w:val="a1"/>
    <w:next w:val="a1"/>
    <w:qFormat/>
    <w:pPr>
      <w:keepNext/>
      <w:keepLines/>
      <w:numPr>
        <w:ilvl w:val="6"/>
        <w:numId w:val="1"/>
      </w:numPr>
      <w:tabs>
        <w:tab w:val="left" w:pos="425"/>
      </w:tabs>
      <w:spacing w:before="240" w:after="64" w:line="320" w:lineRule="auto"/>
      <w:outlineLvl w:val="6"/>
    </w:pPr>
    <w:rPr>
      <w:b/>
      <w:bCs/>
      <w:sz w:val="24"/>
    </w:rPr>
  </w:style>
  <w:style w:type="paragraph" w:styleId="8">
    <w:name w:val="heading 8"/>
    <w:basedOn w:val="a1"/>
    <w:next w:val="a1"/>
    <w:qFormat/>
    <w:pPr>
      <w:keepNext/>
      <w:keepLines/>
      <w:numPr>
        <w:ilvl w:val="7"/>
        <w:numId w:val="1"/>
      </w:numPr>
      <w:tabs>
        <w:tab w:val="left" w:pos="425"/>
      </w:tabs>
      <w:spacing w:before="240" w:after="64" w:line="320" w:lineRule="auto"/>
      <w:outlineLvl w:val="7"/>
    </w:pPr>
    <w:rPr>
      <w:sz w:val="24"/>
    </w:rPr>
  </w:style>
  <w:style w:type="paragraph" w:styleId="9">
    <w:name w:val="heading 9"/>
    <w:basedOn w:val="a1"/>
    <w:next w:val="a1"/>
    <w:qFormat/>
    <w:pPr>
      <w:keepNext/>
      <w:keepLines/>
      <w:numPr>
        <w:ilvl w:val="8"/>
        <w:numId w:val="1"/>
      </w:numPr>
      <w:tabs>
        <w:tab w:val="left" w:pos="425"/>
      </w:tabs>
      <w:spacing w:before="240" w:after="64" w:line="320" w:lineRule="auto"/>
      <w:outlineLvl w:val="8"/>
    </w:pPr>
    <w:rPr>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annotation subject"/>
    <w:basedOn w:val="a6"/>
    <w:next w:val="a6"/>
    <w:semiHidden/>
    <w:rPr>
      <w:b/>
      <w:bCs/>
    </w:rPr>
  </w:style>
  <w:style w:type="paragraph" w:styleId="a6">
    <w:name w:val="annotation text"/>
    <w:basedOn w:val="a1"/>
    <w:semiHidden/>
    <w:pPr>
      <w:jc w:val="left"/>
    </w:pPr>
  </w:style>
  <w:style w:type="paragraph" w:styleId="a7">
    <w:name w:val="Document Map"/>
    <w:basedOn w:val="a1"/>
    <w:semiHidden/>
    <w:pPr>
      <w:shd w:val="clear" w:color="auto" w:fill="000080"/>
    </w:pPr>
  </w:style>
  <w:style w:type="paragraph" w:styleId="30">
    <w:name w:val="toc 3"/>
    <w:next w:val="a1"/>
    <w:semiHidden/>
    <w:pPr>
      <w:widowControl w:val="0"/>
      <w:tabs>
        <w:tab w:val="right" w:leader="dot" w:pos="8493"/>
      </w:tabs>
      <w:adjustRightInd w:val="0"/>
      <w:snapToGrid w:val="0"/>
      <w:spacing w:afterLines="50" w:after="50"/>
      <w:ind w:leftChars="400" w:left="400"/>
    </w:pPr>
    <w:rPr>
      <w:sz w:val="24"/>
      <w:szCs w:val="24"/>
    </w:rPr>
  </w:style>
  <w:style w:type="paragraph" w:styleId="a8">
    <w:name w:val="Balloon Text"/>
    <w:basedOn w:val="a1"/>
    <w:semiHidden/>
    <w:rPr>
      <w:sz w:val="18"/>
      <w:szCs w:val="18"/>
    </w:rPr>
  </w:style>
  <w:style w:type="paragraph" w:styleId="a9">
    <w:name w:val="footer"/>
    <w:basedOn w:val="a1"/>
    <w:pPr>
      <w:snapToGrid w:val="0"/>
      <w:jc w:val="left"/>
    </w:pPr>
    <w:rPr>
      <w:sz w:val="18"/>
      <w:szCs w:val="18"/>
    </w:rPr>
  </w:style>
  <w:style w:type="paragraph" w:styleId="aa">
    <w:name w:val="header"/>
    <w:basedOn w:val="a1"/>
    <w:link w:val="Char"/>
    <w:pPr>
      <w:pBdr>
        <w:bottom w:val="single" w:sz="4" w:space="1" w:color="auto"/>
      </w:pBdr>
      <w:adjustRightInd w:val="0"/>
      <w:snapToGrid w:val="0"/>
      <w:jc w:val="right"/>
    </w:pPr>
    <w:rPr>
      <w:sz w:val="18"/>
      <w:szCs w:val="18"/>
    </w:rPr>
  </w:style>
  <w:style w:type="paragraph" w:styleId="10">
    <w:name w:val="toc 1"/>
    <w:next w:val="20"/>
    <w:uiPriority w:val="39"/>
    <w:pPr>
      <w:widowControl w:val="0"/>
      <w:tabs>
        <w:tab w:val="right" w:leader="dot" w:pos="8493"/>
      </w:tabs>
      <w:adjustRightInd w:val="0"/>
      <w:snapToGrid w:val="0"/>
      <w:spacing w:beforeLines="100" w:before="100" w:afterLines="50" w:after="50"/>
    </w:pPr>
    <w:rPr>
      <w:b/>
      <w:sz w:val="24"/>
      <w:szCs w:val="24"/>
    </w:rPr>
  </w:style>
  <w:style w:type="paragraph" w:styleId="20">
    <w:name w:val="toc 2"/>
    <w:next w:val="30"/>
    <w:uiPriority w:val="39"/>
    <w:pPr>
      <w:widowControl w:val="0"/>
      <w:tabs>
        <w:tab w:val="right" w:leader="dot" w:pos="8493"/>
      </w:tabs>
      <w:adjustRightInd w:val="0"/>
      <w:snapToGrid w:val="0"/>
      <w:spacing w:afterLines="50" w:after="50"/>
      <w:ind w:leftChars="200" w:left="200"/>
    </w:pPr>
    <w:rPr>
      <w:sz w:val="24"/>
      <w:szCs w:val="24"/>
    </w:rPr>
  </w:style>
  <w:style w:type="paragraph" w:styleId="40">
    <w:name w:val="toc 4"/>
    <w:basedOn w:val="a1"/>
    <w:next w:val="a1"/>
    <w:semiHidden/>
    <w:pPr>
      <w:tabs>
        <w:tab w:val="right" w:leader="dot" w:pos="8493"/>
      </w:tabs>
      <w:spacing w:afterLines="50" w:after="120"/>
      <w:ind w:leftChars="600" w:left="1260"/>
    </w:pPr>
    <w:rPr>
      <w:rFonts w:ascii="Arial" w:eastAsia="楷体_GB2312" w:hAnsi="Arial"/>
      <w:i/>
    </w:rPr>
  </w:style>
  <w:style w:type="paragraph" w:styleId="ab">
    <w:name w:val="Title"/>
    <w:basedOn w:val="a1"/>
    <w:qFormat/>
    <w:pPr>
      <w:spacing w:before="240" w:after="60"/>
      <w:jc w:val="center"/>
      <w:outlineLvl w:val="0"/>
    </w:pPr>
    <w:rPr>
      <w:rFonts w:ascii="Arial" w:eastAsia="黑体" w:hAnsi="Arial" w:cs="Arial"/>
      <w:b/>
      <w:bCs/>
      <w:sz w:val="32"/>
      <w:szCs w:val="30"/>
    </w:rPr>
  </w:style>
  <w:style w:type="character" w:styleId="ac">
    <w:name w:val="Strong"/>
    <w:uiPriority w:val="22"/>
    <w:qFormat/>
    <w:rPr>
      <w:b/>
      <w:bCs/>
    </w:rPr>
  </w:style>
  <w:style w:type="character" w:styleId="ad">
    <w:name w:val="page number"/>
    <w:basedOn w:val="a2"/>
  </w:style>
  <w:style w:type="character" w:styleId="ae">
    <w:name w:val="Hyperlink"/>
    <w:uiPriority w:val="99"/>
    <w:rPr>
      <w:color w:val="000000"/>
      <w:u w:val="none"/>
    </w:rPr>
  </w:style>
  <w:style w:type="character" w:styleId="af">
    <w:name w:val="annotation reference"/>
    <w:semiHidden/>
    <w:rPr>
      <w:sz w:val="21"/>
      <w:szCs w:val="21"/>
    </w:rPr>
  </w:style>
  <w:style w:type="table" w:styleId="af0">
    <w:name w:val="Table Grid"/>
    <w:basedOn w:val="a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1">
    <w:name w:val="Table Professional"/>
    <w:basedOn w:val="a3"/>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shd w:val="solid" w:color="000000" w:fill="FFFFFF"/>
      </w:tcPr>
    </w:tblStylePr>
  </w:style>
  <w:style w:type="paragraph" w:customStyle="1" w:styleId="af2">
    <w:name w:val="章节"/>
    <w:next w:val="a1"/>
    <w:pPr>
      <w:adjustRightInd w:val="0"/>
      <w:snapToGrid w:val="0"/>
      <w:spacing w:beforeLines="300" w:before="300" w:afterLines="300" w:after="300"/>
      <w:jc w:val="center"/>
    </w:pPr>
    <w:rPr>
      <w:rFonts w:ascii="黑体" w:eastAsia="黑体"/>
      <w:b/>
      <w:spacing w:val="10"/>
      <w:sz w:val="30"/>
    </w:rPr>
  </w:style>
  <w:style w:type="paragraph" w:customStyle="1" w:styleId="11">
    <w:name w:val="正文1"/>
    <w:link w:val="1Char"/>
    <w:qFormat/>
    <w:pPr>
      <w:widowControl w:val="0"/>
      <w:adjustRightInd w:val="0"/>
      <w:spacing w:afterLines="50" w:after="120" w:line="360" w:lineRule="auto"/>
      <w:ind w:firstLineChars="200" w:firstLine="600"/>
      <w:jc w:val="both"/>
    </w:pPr>
    <w:rPr>
      <w:spacing w:val="10"/>
      <w:sz w:val="28"/>
      <w:szCs w:val="28"/>
    </w:rPr>
  </w:style>
  <w:style w:type="paragraph" w:customStyle="1" w:styleId="a0">
    <w:name w:val="表头"/>
    <w:pPr>
      <w:numPr>
        <w:numId w:val="2"/>
      </w:numPr>
      <w:tabs>
        <w:tab w:val="left" w:pos="1470"/>
      </w:tabs>
      <w:adjustRightInd w:val="0"/>
      <w:spacing w:beforeLines="50" w:before="120" w:afterLines="50" w:after="120"/>
      <w:jc w:val="center"/>
    </w:pPr>
    <w:rPr>
      <w:spacing w:val="10"/>
      <w:sz w:val="24"/>
      <w:szCs w:val="24"/>
    </w:rPr>
  </w:style>
  <w:style w:type="paragraph" w:customStyle="1" w:styleId="af3">
    <w:name w:val="表格"/>
    <w:link w:val="Char0"/>
    <w:uiPriority w:val="99"/>
    <w:qFormat/>
    <w:pPr>
      <w:widowControl w:val="0"/>
      <w:adjustRightInd w:val="0"/>
      <w:snapToGrid w:val="0"/>
      <w:jc w:val="center"/>
    </w:pPr>
    <w:rPr>
      <w:sz w:val="21"/>
      <w:szCs w:val="21"/>
    </w:rPr>
  </w:style>
  <w:style w:type="paragraph" w:customStyle="1" w:styleId="a">
    <w:name w:val="图头"/>
    <w:next w:val="11"/>
    <w:pPr>
      <w:numPr>
        <w:numId w:val="3"/>
      </w:numPr>
      <w:tabs>
        <w:tab w:val="left" w:pos="1470"/>
      </w:tabs>
      <w:adjustRightInd w:val="0"/>
      <w:spacing w:beforeLines="50" w:before="50" w:afterLines="50" w:after="50"/>
      <w:jc w:val="center"/>
    </w:pPr>
    <w:rPr>
      <w:spacing w:val="10"/>
      <w:sz w:val="24"/>
      <w:szCs w:val="24"/>
    </w:rPr>
  </w:style>
  <w:style w:type="paragraph" w:customStyle="1" w:styleId="af4">
    <w:name w:val="小注"/>
    <w:basedOn w:val="11"/>
    <w:pPr>
      <w:spacing w:afterLines="0" w:after="0" w:line="240" w:lineRule="auto"/>
    </w:pPr>
    <w:rPr>
      <w:sz w:val="18"/>
    </w:rPr>
  </w:style>
  <w:style w:type="paragraph" w:customStyle="1" w:styleId="af5">
    <w:name w:val="表号"/>
    <w:next w:val="a1"/>
    <w:pPr>
      <w:snapToGrid w:val="0"/>
      <w:jc w:val="right"/>
    </w:pPr>
    <w:rPr>
      <w:rFonts w:ascii="宋体"/>
      <w:spacing w:val="10"/>
      <w:sz w:val="21"/>
      <w:szCs w:val="24"/>
    </w:rPr>
  </w:style>
  <w:style w:type="paragraph" w:customStyle="1" w:styleId="af6">
    <w:name w:val="插图"/>
    <w:next w:val="a"/>
    <w:link w:val="Char1"/>
    <w:pPr>
      <w:snapToGrid w:val="0"/>
      <w:spacing w:beforeLines="50" w:before="50" w:afterLines="50" w:after="50"/>
      <w:jc w:val="center"/>
    </w:pPr>
    <w:rPr>
      <w:kern w:val="2"/>
      <w:sz w:val="21"/>
      <w:szCs w:val="24"/>
    </w:rPr>
  </w:style>
  <w:style w:type="paragraph" w:customStyle="1" w:styleId="ParaCharCharCharCharCharCharChar">
    <w:name w:val="默认段落字体 Para Char Char Char Char Char Char Char"/>
    <w:basedOn w:val="a1"/>
  </w:style>
  <w:style w:type="paragraph" w:customStyle="1" w:styleId="af7">
    <w:name w:val="图名"/>
    <w:basedOn w:val="a1"/>
    <w:next w:val="a1"/>
    <w:pPr>
      <w:adjustRightInd w:val="0"/>
      <w:snapToGrid w:val="0"/>
      <w:jc w:val="center"/>
    </w:pPr>
    <w:rPr>
      <w:rFonts w:ascii="宋体" w:hAnsi="宋体"/>
      <w:spacing w:val="10"/>
      <w:sz w:val="24"/>
    </w:rPr>
  </w:style>
  <w:style w:type="paragraph" w:customStyle="1" w:styleId="1105">
    <w:name w:val="样式 目录 1 + 段前: 1 行 段后: 0.5 行"/>
    <w:basedOn w:val="10"/>
    <w:pPr>
      <w:spacing w:beforeLines="50" w:before="50"/>
    </w:pPr>
    <w:rPr>
      <w:rFonts w:cs="宋体"/>
      <w:bCs/>
      <w:szCs w:val="20"/>
    </w:rPr>
  </w:style>
  <w:style w:type="paragraph" w:customStyle="1" w:styleId="Char2">
    <w:name w:val="Char"/>
    <w:basedOn w:val="a1"/>
  </w:style>
  <w:style w:type="paragraph" w:customStyle="1" w:styleId="af8">
    <w:name w:val="表格文字"/>
    <w:pPr>
      <w:spacing w:line="400" w:lineRule="exact"/>
      <w:jc w:val="center"/>
    </w:pPr>
    <w:rPr>
      <w:sz w:val="24"/>
      <w:szCs w:val="24"/>
    </w:rPr>
  </w:style>
  <w:style w:type="paragraph" w:customStyle="1" w:styleId="CharCharCharChar">
    <w:name w:val="Char Char Char Char"/>
    <w:basedOn w:val="a1"/>
  </w:style>
  <w:style w:type="character" w:customStyle="1" w:styleId="1Char">
    <w:name w:val="正文1 Char"/>
    <w:link w:val="11"/>
    <w:rPr>
      <w:spacing w:val="10"/>
      <w:sz w:val="28"/>
      <w:szCs w:val="28"/>
      <w:lang w:val="en-US" w:eastAsia="zh-CN" w:bidi="ar-SA"/>
    </w:rPr>
  </w:style>
  <w:style w:type="character" w:customStyle="1" w:styleId="Char0">
    <w:name w:val="表格 Char"/>
    <w:link w:val="af3"/>
    <w:uiPriority w:val="99"/>
    <w:rPr>
      <w:sz w:val="21"/>
      <w:szCs w:val="21"/>
      <w:lang w:val="en-US" w:eastAsia="zh-CN" w:bidi="ar-SA"/>
    </w:rPr>
  </w:style>
  <w:style w:type="character" w:customStyle="1" w:styleId="newstext">
    <w:name w:val="news_text"/>
    <w:basedOn w:val="a2"/>
  </w:style>
  <w:style w:type="character" w:customStyle="1" w:styleId="4Char">
    <w:name w:val="标题 4 Char"/>
    <w:link w:val="4"/>
    <w:rPr>
      <w:b/>
      <w:bCs/>
      <w:kern w:val="2"/>
      <w:sz w:val="24"/>
      <w:szCs w:val="24"/>
    </w:rPr>
  </w:style>
  <w:style w:type="character" w:customStyle="1" w:styleId="1CharChar">
    <w:name w:val="正文1 Char Char"/>
    <w:rPr>
      <w:spacing w:val="10"/>
      <w:sz w:val="24"/>
      <w:szCs w:val="24"/>
      <w:lang w:val="en-US" w:eastAsia="zh-CN" w:bidi="ar-SA"/>
    </w:rPr>
  </w:style>
  <w:style w:type="character" w:customStyle="1" w:styleId="Char">
    <w:name w:val="页眉 Char"/>
    <w:link w:val="aa"/>
    <w:rPr>
      <w:kern w:val="2"/>
      <w:sz w:val="18"/>
      <w:szCs w:val="18"/>
    </w:rPr>
  </w:style>
  <w:style w:type="character" w:customStyle="1" w:styleId="Char1">
    <w:name w:val="插图 Char"/>
    <w:link w:val="af6"/>
    <w:locked/>
    <w:rPr>
      <w:kern w:val="2"/>
      <w:sz w:val="21"/>
      <w:szCs w:val="24"/>
    </w:rPr>
  </w:style>
  <w:style w:type="table" w:customStyle="1" w:styleId="tj">
    <w:name w:val="tj"/>
    <w:basedOn w:val="a3"/>
    <w:pPr>
      <w:jc w:val="center"/>
    </w:pPr>
    <w:rPr>
      <w:sz w:val="21"/>
    </w:rPr>
    <w:tblPr>
      <w:tblInd w:w="0" w:type="dxa"/>
      <w:tblBorders>
        <w:top w:val="double" w:sz="4" w:space="0" w:color="auto"/>
        <w:bottom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rPr>
      <w:kern w:val="2"/>
      <w:sz w:val="21"/>
      <w:szCs w:val="24"/>
    </w:rPr>
  </w:style>
  <w:style w:type="paragraph" w:styleId="1">
    <w:name w:val="heading 1"/>
    <w:basedOn w:val="a1"/>
    <w:next w:val="a1"/>
    <w:qFormat/>
    <w:pPr>
      <w:keepNext/>
      <w:keepLines/>
      <w:tabs>
        <w:tab w:val="left" w:pos="630"/>
      </w:tabs>
      <w:spacing w:beforeLines="150" w:before="360" w:afterLines="150" w:after="360" w:line="360" w:lineRule="auto"/>
      <w:jc w:val="center"/>
      <w:outlineLvl w:val="0"/>
    </w:pPr>
    <w:rPr>
      <w:rFonts w:ascii="Arial" w:hAnsi="Arial"/>
      <w:b/>
      <w:bCs/>
      <w:color w:val="000000"/>
      <w:kern w:val="44"/>
      <w:sz w:val="32"/>
      <w:szCs w:val="32"/>
    </w:rPr>
  </w:style>
  <w:style w:type="paragraph" w:styleId="2">
    <w:name w:val="heading 2"/>
    <w:basedOn w:val="a1"/>
    <w:next w:val="a1"/>
    <w:qFormat/>
    <w:pPr>
      <w:keepNext/>
      <w:keepLines/>
      <w:numPr>
        <w:ilvl w:val="1"/>
        <w:numId w:val="1"/>
      </w:numPr>
      <w:tabs>
        <w:tab w:val="left" w:pos="425"/>
      </w:tabs>
      <w:spacing w:beforeLines="50" w:before="120" w:afterLines="50" w:after="120" w:line="360" w:lineRule="auto"/>
      <w:outlineLvl w:val="1"/>
    </w:pPr>
    <w:rPr>
      <w:rFonts w:ascii="Arial" w:hAnsi="Arial"/>
      <w:b/>
      <w:bCs/>
      <w:sz w:val="30"/>
      <w:szCs w:val="30"/>
    </w:rPr>
  </w:style>
  <w:style w:type="paragraph" w:styleId="3">
    <w:name w:val="heading 3"/>
    <w:basedOn w:val="a1"/>
    <w:next w:val="a1"/>
    <w:qFormat/>
    <w:pPr>
      <w:keepNext/>
      <w:keepLines/>
      <w:numPr>
        <w:ilvl w:val="2"/>
        <w:numId w:val="1"/>
      </w:numPr>
      <w:tabs>
        <w:tab w:val="left" w:pos="425"/>
      </w:tabs>
      <w:spacing w:before="240" w:after="120" w:line="360" w:lineRule="auto"/>
      <w:outlineLvl w:val="2"/>
    </w:pPr>
    <w:rPr>
      <w:rFonts w:ascii="Arial" w:hAnsi="Arial"/>
      <w:b/>
      <w:bCs/>
      <w:sz w:val="28"/>
      <w:szCs w:val="28"/>
    </w:rPr>
  </w:style>
  <w:style w:type="paragraph" w:styleId="4">
    <w:name w:val="heading 4"/>
    <w:basedOn w:val="a1"/>
    <w:next w:val="a1"/>
    <w:link w:val="4Char"/>
    <w:qFormat/>
    <w:pPr>
      <w:keepNext/>
      <w:keepLines/>
      <w:numPr>
        <w:ilvl w:val="3"/>
        <w:numId w:val="1"/>
      </w:numPr>
      <w:tabs>
        <w:tab w:val="left" w:pos="425"/>
      </w:tabs>
      <w:spacing w:before="120" w:after="120" w:line="360" w:lineRule="auto"/>
      <w:outlineLvl w:val="3"/>
    </w:pPr>
    <w:rPr>
      <w:b/>
      <w:bCs/>
      <w:sz w:val="24"/>
    </w:rPr>
  </w:style>
  <w:style w:type="paragraph" w:styleId="5">
    <w:name w:val="heading 5"/>
    <w:basedOn w:val="a1"/>
    <w:next w:val="a1"/>
    <w:qFormat/>
    <w:pPr>
      <w:keepNext/>
      <w:keepLines/>
      <w:numPr>
        <w:ilvl w:val="4"/>
        <w:numId w:val="1"/>
      </w:numPr>
      <w:tabs>
        <w:tab w:val="left" w:pos="425"/>
      </w:tabs>
      <w:spacing w:before="280" w:after="290" w:line="376" w:lineRule="auto"/>
      <w:outlineLvl w:val="4"/>
    </w:pPr>
    <w:rPr>
      <w:b/>
      <w:bCs/>
      <w:sz w:val="24"/>
      <w:szCs w:val="28"/>
    </w:rPr>
  </w:style>
  <w:style w:type="paragraph" w:styleId="6">
    <w:name w:val="heading 6"/>
    <w:basedOn w:val="a1"/>
    <w:next w:val="a1"/>
    <w:qFormat/>
    <w:pPr>
      <w:keepNext/>
      <w:keepLines/>
      <w:numPr>
        <w:ilvl w:val="5"/>
        <w:numId w:val="1"/>
      </w:numPr>
      <w:tabs>
        <w:tab w:val="left" w:pos="425"/>
      </w:tabs>
      <w:spacing w:before="240" w:after="64" w:line="320" w:lineRule="auto"/>
      <w:outlineLvl w:val="5"/>
    </w:pPr>
    <w:rPr>
      <w:b/>
      <w:bCs/>
      <w:sz w:val="24"/>
    </w:rPr>
  </w:style>
  <w:style w:type="paragraph" w:styleId="7">
    <w:name w:val="heading 7"/>
    <w:basedOn w:val="a1"/>
    <w:next w:val="a1"/>
    <w:qFormat/>
    <w:pPr>
      <w:keepNext/>
      <w:keepLines/>
      <w:numPr>
        <w:ilvl w:val="6"/>
        <w:numId w:val="1"/>
      </w:numPr>
      <w:tabs>
        <w:tab w:val="left" w:pos="425"/>
      </w:tabs>
      <w:spacing w:before="240" w:after="64" w:line="320" w:lineRule="auto"/>
      <w:outlineLvl w:val="6"/>
    </w:pPr>
    <w:rPr>
      <w:b/>
      <w:bCs/>
      <w:sz w:val="24"/>
    </w:rPr>
  </w:style>
  <w:style w:type="paragraph" w:styleId="8">
    <w:name w:val="heading 8"/>
    <w:basedOn w:val="a1"/>
    <w:next w:val="a1"/>
    <w:qFormat/>
    <w:pPr>
      <w:keepNext/>
      <w:keepLines/>
      <w:numPr>
        <w:ilvl w:val="7"/>
        <w:numId w:val="1"/>
      </w:numPr>
      <w:tabs>
        <w:tab w:val="left" w:pos="425"/>
      </w:tabs>
      <w:spacing w:before="240" w:after="64" w:line="320" w:lineRule="auto"/>
      <w:outlineLvl w:val="7"/>
    </w:pPr>
    <w:rPr>
      <w:sz w:val="24"/>
    </w:rPr>
  </w:style>
  <w:style w:type="paragraph" w:styleId="9">
    <w:name w:val="heading 9"/>
    <w:basedOn w:val="a1"/>
    <w:next w:val="a1"/>
    <w:qFormat/>
    <w:pPr>
      <w:keepNext/>
      <w:keepLines/>
      <w:numPr>
        <w:ilvl w:val="8"/>
        <w:numId w:val="1"/>
      </w:numPr>
      <w:tabs>
        <w:tab w:val="left" w:pos="425"/>
      </w:tabs>
      <w:spacing w:before="240" w:after="64" w:line="320" w:lineRule="auto"/>
      <w:outlineLvl w:val="8"/>
    </w:pPr>
    <w:rPr>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annotation subject"/>
    <w:basedOn w:val="a6"/>
    <w:next w:val="a6"/>
    <w:semiHidden/>
    <w:rPr>
      <w:b/>
      <w:bCs/>
    </w:rPr>
  </w:style>
  <w:style w:type="paragraph" w:styleId="a6">
    <w:name w:val="annotation text"/>
    <w:basedOn w:val="a1"/>
    <w:semiHidden/>
    <w:pPr>
      <w:jc w:val="left"/>
    </w:pPr>
  </w:style>
  <w:style w:type="paragraph" w:styleId="a7">
    <w:name w:val="Document Map"/>
    <w:basedOn w:val="a1"/>
    <w:semiHidden/>
    <w:pPr>
      <w:shd w:val="clear" w:color="auto" w:fill="000080"/>
    </w:pPr>
  </w:style>
  <w:style w:type="paragraph" w:styleId="30">
    <w:name w:val="toc 3"/>
    <w:next w:val="a1"/>
    <w:semiHidden/>
    <w:pPr>
      <w:widowControl w:val="0"/>
      <w:tabs>
        <w:tab w:val="right" w:leader="dot" w:pos="8493"/>
      </w:tabs>
      <w:adjustRightInd w:val="0"/>
      <w:snapToGrid w:val="0"/>
      <w:spacing w:afterLines="50" w:after="50"/>
      <w:ind w:leftChars="400" w:left="400"/>
    </w:pPr>
    <w:rPr>
      <w:sz w:val="24"/>
      <w:szCs w:val="24"/>
    </w:rPr>
  </w:style>
  <w:style w:type="paragraph" w:styleId="a8">
    <w:name w:val="Balloon Text"/>
    <w:basedOn w:val="a1"/>
    <w:semiHidden/>
    <w:rPr>
      <w:sz w:val="18"/>
      <w:szCs w:val="18"/>
    </w:rPr>
  </w:style>
  <w:style w:type="paragraph" w:styleId="a9">
    <w:name w:val="footer"/>
    <w:basedOn w:val="a1"/>
    <w:pPr>
      <w:snapToGrid w:val="0"/>
      <w:jc w:val="left"/>
    </w:pPr>
    <w:rPr>
      <w:sz w:val="18"/>
      <w:szCs w:val="18"/>
    </w:rPr>
  </w:style>
  <w:style w:type="paragraph" w:styleId="aa">
    <w:name w:val="header"/>
    <w:basedOn w:val="a1"/>
    <w:link w:val="Char"/>
    <w:pPr>
      <w:pBdr>
        <w:bottom w:val="single" w:sz="4" w:space="1" w:color="auto"/>
      </w:pBdr>
      <w:adjustRightInd w:val="0"/>
      <w:snapToGrid w:val="0"/>
      <w:jc w:val="right"/>
    </w:pPr>
    <w:rPr>
      <w:sz w:val="18"/>
      <w:szCs w:val="18"/>
    </w:rPr>
  </w:style>
  <w:style w:type="paragraph" w:styleId="10">
    <w:name w:val="toc 1"/>
    <w:next w:val="20"/>
    <w:uiPriority w:val="39"/>
    <w:pPr>
      <w:widowControl w:val="0"/>
      <w:tabs>
        <w:tab w:val="right" w:leader="dot" w:pos="8493"/>
      </w:tabs>
      <w:adjustRightInd w:val="0"/>
      <w:snapToGrid w:val="0"/>
      <w:spacing w:beforeLines="100" w:before="100" w:afterLines="50" w:after="50"/>
    </w:pPr>
    <w:rPr>
      <w:b/>
      <w:sz w:val="24"/>
      <w:szCs w:val="24"/>
    </w:rPr>
  </w:style>
  <w:style w:type="paragraph" w:styleId="20">
    <w:name w:val="toc 2"/>
    <w:next w:val="30"/>
    <w:uiPriority w:val="39"/>
    <w:pPr>
      <w:widowControl w:val="0"/>
      <w:tabs>
        <w:tab w:val="right" w:leader="dot" w:pos="8493"/>
      </w:tabs>
      <w:adjustRightInd w:val="0"/>
      <w:snapToGrid w:val="0"/>
      <w:spacing w:afterLines="50" w:after="50"/>
      <w:ind w:leftChars="200" w:left="200"/>
    </w:pPr>
    <w:rPr>
      <w:sz w:val="24"/>
      <w:szCs w:val="24"/>
    </w:rPr>
  </w:style>
  <w:style w:type="paragraph" w:styleId="40">
    <w:name w:val="toc 4"/>
    <w:basedOn w:val="a1"/>
    <w:next w:val="a1"/>
    <w:semiHidden/>
    <w:pPr>
      <w:tabs>
        <w:tab w:val="right" w:leader="dot" w:pos="8493"/>
      </w:tabs>
      <w:spacing w:afterLines="50" w:after="120"/>
      <w:ind w:leftChars="600" w:left="1260"/>
    </w:pPr>
    <w:rPr>
      <w:rFonts w:ascii="Arial" w:eastAsia="楷体_GB2312" w:hAnsi="Arial"/>
      <w:i/>
    </w:rPr>
  </w:style>
  <w:style w:type="paragraph" w:styleId="ab">
    <w:name w:val="Title"/>
    <w:basedOn w:val="a1"/>
    <w:qFormat/>
    <w:pPr>
      <w:spacing w:before="240" w:after="60"/>
      <w:jc w:val="center"/>
      <w:outlineLvl w:val="0"/>
    </w:pPr>
    <w:rPr>
      <w:rFonts w:ascii="Arial" w:eastAsia="黑体" w:hAnsi="Arial" w:cs="Arial"/>
      <w:b/>
      <w:bCs/>
      <w:sz w:val="32"/>
      <w:szCs w:val="30"/>
    </w:rPr>
  </w:style>
  <w:style w:type="character" w:styleId="ac">
    <w:name w:val="Strong"/>
    <w:uiPriority w:val="22"/>
    <w:qFormat/>
    <w:rPr>
      <w:b/>
      <w:bCs/>
    </w:rPr>
  </w:style>
  <w:style w:type="character" w:styleId="ad">
    <w:name w:val="page number"/>
    <w:basedOn w:val="a2"/>
  </w:style>
  <w:style w:type="character" w:styleId="ae">
    <w:name w:val="Hyperlink"/>
    <w:uiPriority w:val="99"/>
    <w:rPr>
      <w:color w:val="000000"/>
      <w:u w:val="none"/>
    </w:rPr>
  </w:style>
  <w:style w:type="character" w:styleId="af">
    <w:name w:val="annotation reference"/>
    <w:semiHidden/>
    <w:rPr>
      <w:sz w:val="21"/>
      <w:szCs w:val="21"/>
    </w:rPr>
  </w:style>
  <w:style w:type="table" w:styleId="af0">
    <w:name w:val="Table Grid"/>
    <w:basedOn w:val="a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1">
    <w:name w:val="Table Professional"/>
    <w:basedOn w:val="a3"/>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shd w:val="solid" w:color="000000" w:fill="FFFFFF"/>
      </w:tcPr>
    </w:tblStylePr>
  </w:style>
  <w:style w:type="paragraph" w:customStyle="1" w:styleId="af2">
    <w:name w:val="章节"/>
    <w:next w:val="a1"/>
    <w:pPr>
      <w:adjustRightInd w:val="0"/>
      <w:snapToGrid w:val="0"/>
      <w:spacing w:beforeLines="300" w:before="300" w:afterLines="300" w:after="300"/>
      <w:jc w:val="center"/>
    </w:pPr>
    <w:rPr>
      <w:rFonts w:ascii="黑体" w:eastAsia="黑体"/>
      <w:b/>
      <w:spacing w:val="10"/>
      <w:sz w:val="30"/>
    </w:rPr>
  </w:style>
  <w:style w:type="paragraph" w:customStyle="1" w:styleId="11">
    <w:name w:val="正文1"/>
    <w:link w:val="1Char"/>
    <w:qFormat/>
    <w:pPr>
      <w:widowControl w:val="0"/>
      <w:adjustRightInd w:val="0"/>
      <w:spacing w:afterLines="50" w:after="120" w:line="360" w:lineRule="auto"/>
      <w:ind w:firstLineChars="200" w:firstLine="600"/>
      <w:jc w:val="both"/>
    </w:pPr>
    <w:rPr>
      <w:spacing w:val="10"/>
      <w:sz w:val="28"/>
      <w:szCs w:val="28"/>
    </w:rPr>
  </w:style>
  <w:style w:type="paragraph" w:customStyle="1" w:styleId="a0">
    <w:name w:val="表头"/>
    <w:pPr>
      <w:numPr>
        <w:numId w:val="2"/>
      </w:numPr>
      <w:tabs>
        <w:tab w:val="left" w:pos="1470"/>
      </w:tabs>
      <w:adjustRightInd w:val="0"/>
      <w:spacing w:beforeLines="50" w:before="120" w:afterLines="50" w:after="120"/>
      <w:jc w:val="center"/>
    </w:pPr>
    <w:rPr>
      <w:spacing w:val="10"/>
      <w:sz w:val="24"/>
      <w:szCs w:val="24"/>
    </w:rPr>
  </w:style>
  <w:style w:type="paragraph" w:customStyle="1" w:styleId="af3">
    <w:name w:val="表格"/>
    <w:link w:val="Char0"/>
    <w:uiPriority w:val="99"/>
    <w:qFormat/>
    <w:pPr>
      <w:widowControl w:val="0"/>
      <w:adjustRightInd w:val="0"/>
      <w:snapToGrid w:val="0"/>
      <w:jc w:val="center"/>
    </w:pPr>
    <w:rPr>
      <w:sz w:val="21"/>
      <w:szCs w:val="21"/>
    </w:rPr>
  </w:style>
  <w:style w:type="paragraph" w:customStyle="1" w:styleId="a">
    <w:name w:val="图头"/>
    <w:next w:val="11"/>
    <w:pPr>
      <w:numPr>
        <w:numId w:val="3"/>
      </w:numPr>
      <w:tabs>
        <w:tab w:val="left" w:pos="1470"/>
      </w:tabs>
      <w:adjustRightInd w:val="0"/>
      <w:spacing w:beforeLines="50" w:before="50" w:afterLines="50" w:after="50"/>
      <w:jc w:val="center"/>
    </w:pPr>
    <w:rPr>
      <w:spacing w:val="10"/>
      <w:sz w:val="24"/>
      <w:szCs w:val="24"/>
    </w:rPr>
  </w:style>
  <w:style w:type="paragraph" w:customStyle="1" w:styleId="af4">
    <w:name w:val="小注"/>
    <w:basedOn w:val="11"/>
    <w:pPr>
      <w:spacing w:afterLines="0" w:after="0" w:line="240" w:lineRule="auto"/>
    </w:pPr>
    <w:rPr>
      <w:sz w:val="18"/>
    </w:rPr>
  </w:style>
  <w:style w:type="paragraph" w:customStyle="1" w:styleId="af5">
    <w:name w:val="表号"/>
    <w:next w:val="a1"/>
    <w:pPr>
      <w:snapToGrid w:val="0"/>
      <w:jc w:val="right"/>
    </w:pPr>
    <w:rPr>
      <w:rFonts w:ascii="宋体"/>
      <w:spacing w:val="10"/>
      <w:sz w:val="21"/>
      <w:szCs w:val="24"/>
    </w:rPr>
  </w:style>
  <w:style w:type="paragraph" w:customStyle="1" w:styleId="af6">
    <w:name w:val="插图"/>
    <w:next w:val="a"/>
    <w:link w:val="Char1"/>
    <w:pPr>
      <w:snapToGrid w:val="0"/>
      <w:spacing w:beforeLines="50" w:before="50" w:afterLines="50" w:after="50"/>
      <w:jc w:val="center"/>
    </w:pPr>
    <w:rPr>
      <w:kern w:val="2"/>
      <w:sz w:val="21"/>
      <w:szCs w:val="24"/>
    </w:rPr>
  </w:style>
  <w:style w:type="paragraph" w:customStyle="1" w:styleId="ParaCharCharCharCharCharCharChar">
    <w:name w:val="默认段落字体 Para Char Char Char Char Char Char Char"/>
    <w:basedOn w:val="a1"/>
  </w:style>
  <w:style w:type="paragraph" w:customStyle="1" w:styleId="af7">
    <w:name w:val="图名"/>
    <w:basedOn w:val="a1"/>
    <w:next w:val="a1"/>
    <w:pPr>
      <w:adjustRightInd w:val="0"/>
      <w:snapToGrid w:val="0"/>
      <w:jc w:val="center"/>
    </w:pPr>
    <w:rPr>
      <w:rFonts w:ascii="宋体" w:hAnsi="宋体"/>
      <w:spacing w:val="10"/>
      <w:sz w:val="24"/>
    </w:rPr>
  </w:style>
  <w:style w:type="paragraph" w:customStyle="1" w:styleId="1105">
    <w:name w:val="样式 目录 1 + 段前: 1 行 段后: 0.5 行"/>
    <w:basedOn w:val="10"/>
    <w:pPr>
      <w:spacing w:beforeLines="50" w:before="50"/>
    </w:pPr>
    <w:rPr>
      <w:rFonts w:cs="宋体"/>
      <w:bCs/>
      <w:szCs w:val="20"/>
    </w:rPr>
  </w:style>
  <w:style w:type="paragraph" w:customStyle="1" w:styleId="Char2">
    <w:name w:val="Char"/>
    <w:basedOn w:val="a1"/>
  </w:style>
  <w:style w:type="paragraph" w:customStyle="1" w:styleId="af8">
    <w:name w:val="表格文字"/>
    <w:pPr>
      <w:spacing w:line="400" w:lineRule="exact"/>
      <w:jc w:val="center"/>
    </w:pPr>
    <w:rPr>
      <w:sz w:val="24"/>
      <w:szCs w:val="24"/>
    </w:rPr>
  </w:style>
  <w:style w:type="paragraph" w:customStyle="1" w:styleId="CharCharCharChar">
    <w:name w:val="Char Char Char Char"/>
    <w:basedOn w:val="a1"/>
  </w:style>
  <w:style w:type="character" w:customStyle="1" w:styleId="1Char">
    <w:name w:val="正文1 Char"/>
    <w:link w:val="11"/>
    <w:rPr>
      <w:spacing w:val="10"/>
      <w:sz w:val="28"/>
      <w:szCs w:val="28"/>
      <w:lang w:val="en-US" w:eastAsia="zh-CN" w:bidi="ar-SA"/>
    </w:rPr>
  </w:style>
  <w:style w:type="character" w:customStyle="1" w:styleId="Char0">
    <w:name w:val="表格 Char"/>
    <w:link w:val="af3"/>
    <w:uiPriority w:val="99"/>
    <w:rPr>
      <w:sz w:val="21"/>
      <w:szCs w:val="21"/>
      <w:lang w:val="en-US" w:eastAsia="zh-CN" w:bidi="ar-SA"/>
    </w:rPr>
  </w:style>
  <w:style w:type="character" w:customStyle="1" w:styleId="newstext">
    <w:name w:val="news_text"/>
    <w:basedOn w:val="a2"/>
  </w:style>
  <w:style w:type="character" w:customStyle="1" w:styleId="4Char">
    <w:name w:val="标题 4 Char"/>
    <w:link w:val="4"/>
    <w:rPr>
      <w:b/>
      <w:bCs/>
      <w:kern w:val="2"/>
      <w:sz w:val="24"/>
      <w:szCs w:val="24"/>
    </w:rPr>
  </w:style>
  <w:style w:type="character" w:customStyle="1" w:styleId="1CharChar">
    <w:name w:val="正文1 Char Char"/>
    <w:rPr>
      <w:spacing w:val="10"/>
      <w:sz w:val="24"/>
      <w:szCs w:val="24"/>
      <w:lang w:val="en-US" w:eastAsia="zh-CN" w:bidi="ar-SA"/>
    </w:rPr>
  </w:style>
  <w:style w:type="character" w:customStyle="1" w:styleId="Char">
    <w:name w:val="页眉 Char"/>
    <w:link w:val="aa"/>
    <w:rPr>
      <w:kern w:val="2"/>
      <w:sz w:val="18"/>
      <w:szCs w:val="18"/>
    </w:rPr>
  </w:style>
  <w:style w:type="character" w:customStyle="1" w:styleId="Char1">
    <w:name w:val="插图 Char"/>
    <w:link w:val="af6"/>
    <w:locked/>
    <w:rPr>
      <w:kern w:val="2"/>
      <w:sz w:val="21"/>
      <w:szCs w:val="24"/>
    </w:rPr>
  </w:style>
  <w:style w:type="table" w:customStyle="1" w:styleId="tj">
    <w:name w:val="tj"/>
    <w:basedOn w:val="a3"/>
    <w:pPr>
      <w:jc w:val="center"/>
    </w:pPr>
    <w:rPr>
      <w:sz w:val="21"/>
    </w:rPr>
    <w:tblPr>
      <w:tblInd w:w="0" w:type="dxa"/>
      <w:tblBorders>
        <w:top w:val="double" w:sz="4" w:space="0" w:color="auto"/>
        <w:bottom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enovo\Application%20Data\Microsoft\Templates\200601.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200601</Template>
  <TotalTime>14</TotalTime>
  <Pages>38</Pages>
  <Words>2880</Words>
  <Characters>16422</Characters>
  <Application>Microsoft Office Word</Application>
  <DocSecurity>0</DocSecurity>
  <Lines>136</Lines>
  <Paragraphs>38</Paragraphs>
  <ScaleCrop>false</ScaleCrop>
  <Company>TPRI</Company>
  <LinksUpToDate>false</LinksUpToDate>
  <CharactersWithSpaces>19264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mz总规划报告</dc:title>
  <dc:subject>梅州国家公路运输枢纽规划</dc:subject>
  <dc:creator>褚琴</dc:creator>
  <cp:lastModifiedBy>戴香松</cp:lastModifiedBy>
  <cp:revision>8</cp:revision>
  <cp:lastPrinted>2013-05-26T09:37:00Z</cp:lastPrinted>
  <dcterms:created xsi:type="dcterms:W3CDTF">2016-08-03T05:45:00Z</dcterms:created>
  <dcterms:modified xsi:type="dcterms:W3CDTF">2016-10-19T09:53:00Z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2052-9.1.0.5218</vt:lpwstr>
  </property>
</Properties>
</file>