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9F7" w:rsidRDefault="005E49F7">
      <w:pPr>
        <w:spacing w:line="360" w:lineRule="auto"/>
        <w:jc w:val="center"/>
        <w:rPr>
          <w:rFonts w:hAnsi="宋体"/>
          <w:b/>
          <w:bCs/>
          <w:sz w:val="72"/>
          <w:szCs w:val="72"/>
        </w:rPr>
      </w:pPr>
    </w:p>
    <w:p w:rsidR="005E49F7" w:rsidRDefault="005E49F7">
      <w:pPr>
        <w:spacing w:line="360" w:lineRule="auto"/>
        <w:jc w:val="center"/>
        <w:rPr>
          <w:rFonts w:hAnsi="宋体"/>
          <w:b/>
          <w:bCs/>
          <w:sz w:val="72"/>
          <w:szCs w:val="72"/>
        </w:rPr>
      </w:pPr>
      <w:r>
        <w:rPr>
          <w:rFonts w:hAnsi="宋体" w:cs="宋体" w:hint="eastAsia"/>
          <w:b/>
          <w:bCs/>
          <w:sz w:val="72"/>
          <w:szCs w:val="72"/>
        </w:rPr>
        <w:t>梅州港总体规划</w:t>
      </w:r>
    </w:p>
    <w:p w:rsidR="005E49F7" w:rsidRDefault="005E49F7">
      <w:pPr>
        <w:spacing w:line="360" w:lineRule="auto"/>
        <w:jc w:val="center"/>
        <w:rPr>
          <w:rFonts w:hAnsi="宋体"/>
          <w:b/>
          <w:bCs/>
          <w:sz w:val="72"/>
          <w:szCs w:val="72"/>
        </w:rPr>
      </w:pPr>
      <w:r>
        <w:rPr>
          <w:rFonts w:hAnsi="宋体" w:cs="宋体" w:hint="eastAsia"/>
          <w:b/>
          <w:bCs/>
          <w:sz w:val="72"/>
          <w:szCs w:val="72"/>
        </w:rPr>
        <w:t>环境影响报告书</w:t>
      </w:r>
    </w:p>
    <w:p w:rsidR="005E49F7" w:rsidRDefault="005E49F7">
      <w:pPr>
        <w:spacing w:line="360" w:lineRule="auto"/>
        <w:jc w:val="center"/>
        <w:rPr>
          <w:b/>
          <w:bCs/>
          <w:sz w:val="48"/>
          <w:szCs w:val="48"/>
        </w:rPr>
      </w:pPr>
      <w:r>
        <w:rPr>
          <w:rFonts w:cs="宋体" w:hint="eastAsia"/>
          <w:b/>
          <w:bCs/>
          <w:sz w:val="48"/>
          <w:szCs w:val="48"/>
        </w:rPr>
        <w:t>（简本）</w:t>
      </w:r>
    </w:p>
    <w:p w:rsidR="005E49F7" w:rsidRDefault="005E49F7">
      <w:pPr>
        <w:spacing w:line="360" w:lineRule="auto"/>
        <w:jc w:val="center"/>
        <w:rPr>
          <w:b/>
          <w:bCs/>
          <w:sz w:val="48"/>
          <w:szCs w:val="48"/>
        </w:rPr>
      </w:pPr>
    </w:p>
    <w:p w:rsidR="005E49F7" w:rsidRDefault="005E49F7">
      <w:pPr>
        <w:spacing w:line="360" w:lineRule="auto"/>
        <w:jc w:val="center"/>
        <w:rPr>
          <w:b/>
          <w:bCs/>
          <w:sz w:val="48"/>
          <w:szCs w:val="48"/>
        </w:rPr>
      </w:pPr>
      <w:r w:rsidRPr="007E49DF">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附图3 梅州港总体规划图20151026--" style="width:391.5pt;height:274.5pt;visibility:visible">
            <v:imagedata r:id="rId7" o:title=""/>
          </v:shape>
        </w:pict>
      </w:r>
    </w:p>
    <w:p w:rsidR="005E49F7" w:rsidRDefault="005E49F7" w:rsidP="00D23914">
      <w:pPr>
        <w:widowControl/>
        <w:spacing w:line="360" w:lineRule="auto"/>
        <w:ind w:firstLineChars="400" w:firstLine="31680"/>
        <w:rPr>
          <w:b/>
          <w:bCs/>
          <w:sz w:val="32"/>
          <w:szCs w:val="32"/>
        </w:rPr>
      </w:pPr>
      <w:r>
        <w:rPr>
          <w:rFonts w:hAnsi="宋体" w:cs="宋体" w:hint="eastAsia"/>
          <w:b/>
          <w:bCs/>
          <w:sz w:val="32"/>
          <w:szCs w:val="32"/>
        </w:rPr>
        <w:t>编制单位：广州和元达环保发展有限公司</w:t>
      </w:r>
    </w:p>
    <w:p w:rsidR="005E49F7" w:rsidRDefault="005E49F7">
      <w:pPr>
        <w:widowControl/>
        <w:spacing w:line="360" w:lineRule="auto"/>
        <w:jc w:val="center"/>
        <w:rPr>
          <w:b/>
          <w:bCs/>
          <w:sz w:val="32"/>
          <w:szCs w:val="32"/>
        </w:rPr>
      </w:pPr>
      <w:r>
        <w:rPr>
          <w:b/>
          <w:bCs/>
          <w:sz w:val="32"/>
          <w:szCs w:val="32"/>
        </w:rPr>
        <w:t xml:space="preserve">          </w:t>
      </w:r>
      <w:r>
        <w:rPr>
          <w:rFonts w:cs="宋体" w:hint="eastAsia"/>
          <w:b/>
          <w:bCs/>
          <w:sz w:val="32"/>
          <w:szCs w:val="32"/>
        </w:rPr>
        <w:t>广州亿陆德交通工程技术有限公司</w:t>
      </w:r>
    </w:p>
    <w:p w:rsidR="005E49F7" w:rsidRDefault="005E49F7">
      <w:pPr>
        <w:widowControl/>
        <w:spacing w:line="360" w:lineRule="auto"/>
        <w:jc w:val="center"/>
        <w:rPr>
          <w:rFonts w:hAnsi="宋体"/>
          <w:spacing w:val="30"/>
          <w:sz w:val="28"/>
          <w:szCs w:val="28"/>
        </w:rPr>
      </w:pPr>
      <w:r>
        <w:rPr>
          <w:rFonts w:hAnsi="宋体" w:cs="宋体" w:hint="eastAsia"/>
          <w:b/>
          <w:bCs/>
          <w:sz w:val="32"/>
          <w:szCs w:val="32"/>
        </w:rPr>
        <w:t>二零一七年四月</w:t>
      </w:r>
      <w:r>
        <w:rPr>
          <w:rFonts w:hAnsi="宋体"/>
          <w:spacing w:val="30"/>
          <w:sz w:val="28"/>
          <w:szCs w:val="28"/>
        </w:rPr>
        <w:br w:type="page"/>
      </w:r>
    </w:p>
    <w:p w:rsidR="005E49F7" w:rsidRDefault="005E49F7">
      <w:pPr>
        <w:spacing w:line="360" w:lineRule="auto"/>
        <w:jc w:val="center"/>
        <w:rPr>
          <w:rFonts w:hAnsi="宋体"/>
          <w:b/>
          <w:bCs/>
          <w:spacing w:val="30"/>
          <w:sz w:val="30"/>
          <w:szCs w:val="30"/>
        </w:rPr>
      </w:pPr>
      <w:r>
        <w:rPr>
          <w:rFonts w:hAnsi="宋体" w:cs="宋体" w:hint="eastAsia"/>
          <w:b/>
          <w:bCs/>
          <w:spacing w:val="30"/>
          <w:sz w:val="30"/>
          <w:szCs w:val="30"/>
        </w:rPr>
        <w:t>目</w:t>
      </w:r>
      <w:r>
        <w:rPr>
          <w:rFonts w:hAnsi="宋体"/>
          <w:b/>
          <w:bCs/>
          <w:spacing w:val="30"/>
          <w:sz w:val="30"/>
          <w:szCs w:val="30"/>
        </w:rPr>
        <w:t xml:space="preserve">  </w:t>
      </w:r>
      <w:r>
        <w:rPr>
          <w:rFonts w:hAnsi="宋体" w:cs="宋体" w:hint="eastAsia"/>
          <w:b/>
          <w:bCs/>
          <w:spacing w:val="30"/>
          <w:sz w:val="30"/>
          <w:szCs w:val="30"/>
        </w:rPr>
        <w:t>录</w:t>
      </w:r>
    </w:p>
    <w:p w:rsidR="005E49F7" w:rsidRDefault="005E49F7">
      <w:pPr>
        <w:pStyle w:val="TOC1"/>
        <w:tabs>
          <w:tab w:val="right" w:leader="dot" w:pos="9026"/>
        </w:tabs>
      </w:pPr>
      <w:r>
        <w:rPr>
          <w:rFonts w:hAnsi="宋体"/>
          <w:spacing w:val="30"/>
          <w:sz w:val="28"/>
          <w:szCs w:val="28"/>
        </w:rPr>
        <w:fldChar w:fldCharType="begin"/>
      </w:r>
      <w:r>
        <w:rPr>
          <w:rFonts w:hAnsi="宋体"/>
          <w:spacing w:val="30"/>
          <w:sz w:val="28"/>
          <w:szCs w:val="28"/>
        </w:rPr>
        <w:instrText xml:space="preserve">TOC \o "1-2" \h \u </w:instrText>
      </w:r>
      <w:r>
        <w:rPr>
          <w:rFonts w:hAnsi="宋体"/>
          <w:spacing w:val="30"/>
          <w:sz w:val="28"/>
          <w:szCs w:val="28"/>
        </w:rPr>
        <w:fldChar w:fldCharType="separate"/>
      </w:r>
      <w:hyperlink w:anchor="_Toc25352" w:history="1">
        <w:r>
          <w:rPr>
            <w:rFonts w:ascii="宋体" w:hAnsi="宋体" w:cs="宋体"/>
            <w:b/>
            <w:bCs/>
          </w:rPr>
          <w:t>1</w:t>
        </w:r>
        <w:r>
          <w:rPr>
            <w:rFonts w:ascii="宋体" w:hAnsi="宋体" w:cs="宋体" w:hint="eastAsia"/>
            <w:b/>
            <w:bCs/>
          </w:rPr>
          <w:t>建设项目概况</w:t>
        </w:r>
        <w:r>
          <w:tab/>
        </w:r>
        <w:fldSimple w:instr=" PAGEREF _Toc25352 ">
          <w:r>
            <w:rPr>
              <w:noProof/>
            </w:rPr>
            <w:t>5</w:t>
          </w:r>
        </w:fldSimple>
      </w:hyperlink>
    </w:p>
    <w:p w:rsidR="005E49F7" w:rsidRDefault="005E49F7" w:rsidP="00D23914">
      <w:pPr>
        <w:pStyle w:val="TOC2"/>
        <w:tabs>
          <w:tab w:val="right" w:leader="dot" w:pos="9026"/>
        </w:tabs>
        <w:ind w:left="31680"/>
      </w:pPr>
      <w:hyperlink w:anchor="_Toc17392" w:history="1">
        <w:r>
          <w:rPr>
            <w:rFonts w:ascii="宋体" w:hAnsi="宋体" w:cs="宋体"/>
            <w:b/>
            <w:bCs/>
          </w:rPr>
          <w:t>1.1</w:t>
        </w:r>
        <w:r>
          <w:rPr>
            <w:rFonts w:ascii="宋体" w:hAnsi="宋体" w:cs="宋体" w:hint="eastAsia"/>
            <w:b/>
            <w:bCs/>
          </w:rPr>
          <w:t>建设项目规划范围及相关背景</w:t>
        </w:r>
        <w:r>
          <w:tab/>
        </w:r>
        <w:fldSimple w:instr=" PAGEREF _Toc17392 ">
          <w:r>
            <w:rPr>
              <w:noProof/>
            </w:rPr>
            <w:t>5</w:t>
          </w:r>
        </w:fldSimple>
      </w:hyperlink>
    </w:p>
    <w:p w:rsidR="005E49F7" w:rsidRDefault="005E49F7" w:rsidP="00D23914">
      <w:pPr>
        <w:pStyle w:val="TOC2"/>
        <w:tabs>
          <w:tab w:val="right" w:leader="dot" w:pos="9026"/>
        </w:tabs>
        <w:ind w:left="31680"/>
      </w:pPr>
      <w:hyperlink w:anchor="_Toc21204" w:history="1">
        <w:r>
          <w:rPr>
            <w:rFonts w:ascii="宋体" w:hAnsi="宋体" w:cs="宋体"/>
            <w:b/>
            <w:bCs/>
          </w:rPr>
          <w:t>1.2</w:t>
        </w:r>
        <w:r>
          <w:rPr>
            <w:rFonts w:ascii="宋体" w:hAnsi="宋体" w:cs="宋体" w:hint="eastAsia"/>
            <w:b/>
            <w:bCs/>
          </w:rPr>
          <w:t>项目规划内容</w:t>
        </w:r>
        <w:r>
          <w:tab/>
        </w:r>
        <w:fldSimple w:instr=" PAGEREF _Toc21204 ">
          <w:r>
            <w:rPr>
              <w:noProof/>
            </w:rPr>
            <w:t>6</w:t>
          </w:r>
        </w:fldSimple>
      </w:hyperlink>
    </w:p>
    <w:p w:rsidR="005E49F7" w:rsidRDefault="005E49F7" w:rsidP="00D23914">
      <w:pPr>
        <w:pStyle w:val="TOC2"/>
        <w:tabs>
          <w:tab w:val="right" w:leader="dot" w:pos="9026"/>
        </w:tabs>
        <w:ind w:left="31680"/>
      </w:pPr>
      <w:hyperlink w:anchor="_Toc8383" w:history="1">
        <w:r>
          <w:rPr>
            <w:rFonts w:ascii="宋体" w:hAnsi="宋体" w:cs="宋体"/>
            <w:b/>
            <w:bCs/>
          </w:rPr>
          <w:t>1.3</w:t>
        </w:r>
        <w:r>
          <w:rPr>
            <w:rFonts w:ascii="宋体" w:hAnsi="宋体" w:cs="宋体" w:hint="eastAsia"/>
            <w:b/>
            <w:bCs/>
          </w:rPr>
          <w:t>规划的功能特点</w:t>
        </w:r>
        <w:r>
          <w:tab/>
        </w:r>
        <w:fldSimple w:instr=" PAGEREF _Toc8383 ">
          <w:r>
            <w:rPr>
              <w:noProof/>
            </w:rPr>
            <w:t>21</w:t>
          </w:r>
        </w:fldSimple>
      </w:hyperlink>
    </w:p>
    <w:p w:rsidR="005E49F7" w:rsidRDefault="005E49F7" w:rsidP="00D23914">
      <w:pPr>
        <w:pStyle w:val="TOC2"/>
        <w:tabs>
          <w:tab w:val="right" w:leader="dot" w:pos="9026"/>
        </w:tabs>
        <w:ind w:left="31680"/>
      </w:pPr>
      <w:hyperlink w:anchor="_Toc22757" w:history="1">
        <w:r>
          <w:rPr>
            <w:rFonts w:ascii="宋体" w:hAnsi="宋体" w:cs="宋体"/>
            <w:b/>
            <w:bCs/>
          </w:rPr>
          <w:t>1.4</w:t>
        </w:r>
        <w:r>
          <w:rPr>
            <w:rFonts w:ascii="宋体" w:hAnsi="宋体" w:cs="宋体" w:hint="eastAsia"/>
            <w:b/>
            <w:bCs/>
          </w:rPr>
          <w:t>规划的环境合理性综合论证</w:t>
        </w:r>
        <w:r>
          <w:tab/>
        </w:r>
        <w:fldSimple w:instr=" PAGEREF _Toc22757 ">
          <w:r>
            <w:rPr>
              <w:noProof/>
            </w:rPr>
            <w:t>21</w:t>
          </w:r>
        </w:fldSimple>
      </w:hyperlink>
    </w:p>
    <w:p w:rsidR="005E49F7" w:rsidRDefault="005E49F7">
      <w:pPr>
        <w:pStyle w:val="TOC1"/>
        <w:tabs>
          <w:tab w:val="right" w:leader="dot" w:pos="9026"/>
        </w:tabs>
      </w:pPr>
      <w:hyperlink w:anchor="_Toc8516" w:history="1">
        <w:r>
          <w:rPr>
            <w:rFonts w:ascii="宋体" w:hAnsi="宋体" w:cs="宋体"/>
            <w:b/>
            <w:bCs/>
          </w:rPr>
          <w:t>2</w:t>
        </w:r>
        <w:r>
          <w:rPr>
            <w:rFonts w:ascii="宋体" w:hAnsi="宋体" w:cs="宋体" w:hint="eastAsia"/>
            <w:b/>
            <w:bCs/>
          </w:rPr>
          <w:t>建设项目周围环境现状</w:t>
        </w:r>
        <w:r>
          <w:tab/>
        </w:r>
        <w:fldSimple w:instr=" PAGEREF _Toc8516 ">
          <w:r>
            <w:rPr>
              <w:noProof/>
            </w:rPr>
            <w:t>26</w:t>
          </w:r>
        </w:fldSimple>
      </w:hyperlink>
    </w:p>
    <w:p w:rsidR="005E49F7" w:rsidRDefault="005E49F7" w:rsidP="00D23914">
      <w:pPr>
        <w:pStyle w:val="TOC2"/>
        <w:tabs>
          <w:tab w:val="right" w:leader="dot" w:pos="9026"/>
        </w:tabs>
        <w:ind w:left="31680"/>
      </w:pPr>
      <w:hyperlink w:anchor="_Toc6490" w:history="1">
        <w:r>
          <w:rPr>
            <w:rFonts w:ascii="宋体" w:hAnsi="宋体" w:cs="宋体"/>
            <w:b/>
            <w:bCs/>
          </w:rPr>
          <w:t>2.1</w:t>
        </w:r>
        <w:r>
          <w:rPr>
            <w:rFonts w:ascii="宋体" w:hAnsi="宋体" w:cs="宋体" w:hint="eastAsia"/>
            <w:b/>
            <w:bCs/>
          </w:rPr>
          <w:t>建设项目所在地环境质量现状</w:t>
        </w:r>
        <w:r>
          <w:tab/>
        </w:r>
        <w:fldSimple w:instr=" PAGEREF _Toc6490 ">
          <w:r>
            <w:rPr>
              <w:noProof/>
            </w:rPr>
            <w:t>26</w:t>
          </w:r>
        </w:fldSimple>
      </w:hyperlink>
    </w:p>
    <w:p w:rsidR="005E49F7" w:rsidRDefault="005E49F7" w:rsidP="00D23914">
      <w:pPr>
        <w:pStyle w:val="TOC2"/>
        <w:tabs>
          <w:tab w:val="right" w:leader="dot" w:pos="9026"/>
        </w:tabs>
        <w:ind w:left="31680"/>
      </w:pPr>
      <w:hyperlink w:anchor="_Toc30265" w:history="1">
        <w:r>
          <w:rPr>
            <w:rFonts w:ascii="宋体" w:hAnsi="宋体" w:cs="宋体"/>
            <w:b/>
            <w:bCs/>
          </w:rPr>
          <w:t>2.2</w:t>
        </w:r>
        <w:r>
          <w:rPr>
            <w:rFonts w:ascii="宋体" w:hAnsi="宋体" w:cs="宋体" w:hint="eastAsia"/>
            <w:b/>
            <w:bCs/>
          </w:rPr>
          <w:t>建设项目环境影响评价范围</w:t>
        </w:r>
        <w:r>
          <w:tab/>
        </w:r>
        <w:fldSimple w:instr=" PAGEREF _Toc30265 ">
          <w:r>
            <w:rPr>
              <w:noProof/>
            </w:rPr>
            <w:t>27</w:t>
          </w:r>
        </w:fldSimple>
      </w:hyperlink>
    </w:p>
    <w:p w:rsidR="005E49F7" w:rsidRDefault="005E49F7">
      <w:pPr>
        <w:pStyle w:val="TOC1"/>
        <w:tabs>
          <w:tab w:val="right" w:leader="dot" w:pos="9026"/>
        </w:tabs>
      </w:pPr>
      <w:hyperlink w:anchor="_Toc23447" w:history="1">
        <w:r>
          <w:rPr>
            <w:rFonts w:ascii="宋体" w:hAnsi="宋体" w:cs="宋体"/>
            <w:b/>
            <w:bCs/>
          </w:rPr>
          <w:t>3</w:t>
        </w:r>
        <w:r>
          <w:rPr>
            <w:rFonts w:ascii="宋体" w:hAnsi="宋体" w:cs="宋体" w:hint="eastAsia"/>
            <w:b/>
            <w:bCs/>
          </w:rPr>
          <w:t>建设项目环境影响预测及拟采取的主要措施与效果</w:t>
        </w:r>
        <w:r>
          <w:tab/>
        </w:r>
        <w:fldSimple w:instr=" PAGEREF _Toc23447 ">
          <w:r>
            <w:rPr>
              <w:noProof/>
            </w:rPr>
            <w:t>27</w:t>
          </w:r>
        </w:fldSimple>
      </w:hyperlink>
    </w:p>
    <w:p w:rsidR="005E49F7" w:rsidRDefault="005E49F7" w:rsidP="00D23914">
      <w:pPr>
        <w:pStyle w:val="TOC2"/>
        <w:tabs>
          <w:tab w:val="right" w:leader="dot" w:pos="9026"/>
        </w:tabs>
        <w:ind w:left="31680"/>
      </w:pPr>
      <w:hyperlink w:anchor="_Toc18137" w:history="1">
        <w:r>
          <w:rPr>
            <w:rFonts w:ascii="宋体" w:hAnsi="宋体" w:cs="宋体"/>
            <w:b/>
            <w:bCs/>
          </w:rPr>
          <w:t>3.1</w:t>
        </w:r>
        <w:r>
          <w:rPr>
            <w:rFonts w:ascii="宋体" w:hAnsi="宋体" w:cs="宋体" w:hint="eastAsia"/>
            <w:b/>
            <w:bCs/>
          </w:rPr>
          <w:t>建设项目环境影响预测</w:t>
        </w:r>
        <w:r>
          <w:tab/>
        </w:r>
        <w:fldSimple w:instr=" PAGEREF _Toc18137 ">
          <w:r>
            <w:rPr>
              <w:noProof/>
            </w:rPr>
            <w:t>27</w:t>
          </w:r>
        </w:fldSimple>
      </w:hyperlink>
    </w:p>
    <w:p w:rsidR="005E49F7" w:rsidRDefault="005E49F7" w:rsidP="00D23914">
      <w:pPr>
        <w:pStyle w:val="TOC2"/>
        <w:tabs>
          <w:tab w:val="right" w:leader="dot" w:pos="9026"/>
        </w:tabs>
        <w:ind w:left="31680"/>
      </w:pPr>
      <w:hyperlink w:anchor="_Toc22513" w:history="1">
        <w:r>
          <w:rPr>
            <w:rFonts w:ascii="宋体" w:hAnsi="宋体" w:cs="宋体"/>
            <w:b/>
            <w:bCs/>
          </w:rPr>
          <w:t>3.2</w:t>
        </w:r>
        <w:r>
          <w:rPr>
            <w:rFonts w:ascii="宋体" w:hAnsi="宋体" w:cs="宋体" w:hint="eastAsia"/>
            <w:b/>
            <w:bCs/>
          </w:rPr>
          <w:t>环境保护目标</w:t>
        </w:r>
        <w:r>
          <w:tab/>
        </w:r>
        <w:fldSimple w:instr=" PAGEREF _Toc22513 ">
          <w:r>
            <w:rPr>
              <w:noProof/>
            </w:rPr>
            <w:t>33</w:t>
          </w:r>
        </w:fldSimple>
      </w:hyperlink>
    </w:p>
    <w:p w:rsidR="005E49F7" w:rsidRDefault="005E49F7" w:rsidP="00D23914">
      <w:pPr>
        <w:pStyle w:val="TOC2"/>
        <w:tabs>
          <w:tab w:val="right" w:leader="dot" w:pos="9026"/>
        </w:tabs>
        <w:ind w:left="31680"/>
      </w:pPr>
      <w:hyperlink w:anchor="_Toc4076" w:history="1">
        <w:r>
          <w:rPr>
            <w:rFonts w:ascii="宋体" w:hAnsi="宋体" w:cs="宋体"/>
            <w:b/>
            <w:bCs/>
          </w:rPr>
          <w:t>3.3</w:t>
        </w:r>
        <w:r>
          <w:rPr>
            <w:rFonts w:ascii="宋体" w:hAnsi="宋体" w:cs="宋体" w:hint="eastAsia"/>
            <w:b/>
            <w:bCs/>
          </w:rPr>
          <w:t>环境风险预测</w:t>
        </w:r>
        <w:r>
          <w:tab/>
        </w:r>
        <w:fldSimple w:instr=" PAGEREF _Toc4076 ">
          <w:r>
            <w:rPr>
              <w:noProof/>
            </w:rPr>
            <w:t>36</w:t>
          </w:r>
        </w:fldSimple>
      </w:hyperlink>
    </w:p>
    <w:p w:rsidR="005E49F7" w:rsidRDefault="005E49F7" w:rsidP="00D23914">
      <w:pPr>
        <w:pStyle w:val="TOC2"/>
        <w:tabs>
          <w:tab w:val="right" w:leader="dot" w:pos="9026"/>
        </w:tabs>
        <w:ind w:left="31680"/>
      </w:pPr>
      <w:hyperlink w:anchor="_Toc28174" w:history="1">
        <w:r>
          <w:rPr>
            <w:rFonts w:ascii="宋体" w:hAnsi="宋体" w:cs="宋体"/>
            <w:b/>
            <w:bCs/>
          </w:rPr>
          <w:t>3.4</w:t>
        </w:r>
        <w:r>
          <w:rPr>
            <w:rFonts w:ascii="宋体" w:hAnsi="宋体" w:cs="宋体" w:hint="eastAsia"/>
            <w:b/>
            <w:bCs/>
          </w:rPr>
          <w:t>环境监测与跟踪评价计划</w:t>
        </w:r>
        <w:r>
          <w:tab/>
        </w:r>
        <w:fldSimple w:instr=" PAGEREF _Toc28174 ">
          <w:r>
            <w:rPr>
              <w:noProof/>
            </w:rPr>
            <w:t>42</w:t>
          </w:r>
        </w:fldSimple>
      </w:hyperlink>
    </w:p>
    <w:p w:rsidR="005E49F7" w:rsidRDefault="005E49F7">
      <w:pPr>
        <w:pStyle w:val="TOC1"/>
        <w:tabs>
          <w:tab w:val="right" w:leader="dot" w:pos="9026"/>
        </w:tabs>
      </w:pPr>
      <w:hyperlink w:anchor="_Toc30548" w:history="1">
        <w:r>
          <w:rPr>
            <w:rFonts w:ascii="宋体" w:hAnsi="宋体" w:cs="宋体"/>
            <w:b/>
            <w:bCs/>
          </w:rPr>
          <w:t>4</w:t>
        </w:r>
        <w:r>
          <w:rPr>
            <w:rFonts w:ascii="宋体" w:hAnsi="宋体" w:cs="宋体" w:hint="eastAsia"/>
            <w:b/>
            <w:bCs/>
          </w:rPr>
          <w:t>公众参与</w:t>
        </w:r>
        <w:r>
          <w:tab/>
        </w:r>
        <w:fldSimple w:instr=" PAGEREF _Toc30548 ">
          <w:r>
            <w:rPr>
              <w:noProof/>
            </w:rPr>
            <w:t>42</w:t>
          </w:r>
        </w:fldSimple>
      </w:hyperlink>
    </w:p>
    <w:p w:rsidR="005E49F7" w:rsidRDefault="005E49F7" w:rsidP="00D23914">
      <w:pPr>
        <w:pStyle w:val="TOC2"/>
        <w:tabs>
          <w:tab w:val="right" w:leader="dot" w:pos="9026"/>
        </w:tabs>
        <w:ind w:left="31680"/>
      </w:pPr>
      <w:hyperlink w:anchor="_Toc10990" w:history="1">
        <w:r>
          <w:rPr>
            <w:rFonts w:ascii="宋体" w:hAnsi="宋体" w:cs="宋体"/>
            <w:b/>
            <w:bCs/>
          </w:rPr>
          <w:t>4.1</w:t>
        </w:r>
        <w:r>
          <w:rPr>
            <w:rFonts w:ascii="宋体" w:hAnsi="宋体" w:cs="宋体" w:hint="eastAsia"/>
            <w:b/>
            <w:bCs/>
          </w:rPr>
          <w:t>公众参与形式与目的</w:t>
        </w:r>
        <w:r>
          <w:tab/>
        </w:r>
        <w:fldSimple w:instr=" PAGEREF _Toc10990 ">
          <w:r>
            <w:rPr>
              <w:noProof/>
            </w:rPr>
            <w:t>42</w:t>
          </w:r>
        </w:fldSimple>
      </w:hyperlink>
    </w:p>
    <w:p w:rsidR="005E49F7" w:rsidRDefault="005E49F7" w:rsidP="00D23914">
      <w:pPr>
        <w:pStyle w:val="TOC2"/>
        <w:tabs>
          <w:tab w:val="right" w:leader="dot" w:pos="9026"/>
        </w:tabs>
        <w:ind w:left="31680"/>
      </w:pPr>
      <w:hyperlink w:anchor="_Toc12940" w:history="1">
        <w:r>
          <w:rPr>
            <w:rFonts w:ascii="宋体" w:hAnsi="宋体" w:cs="宋体"/>
            <w:b/>
            <w:bCs/>
          </w:rPr>
          <w:t>4.2</w:t>
        </w:r>
        <w:r>
          <w:rPr>
            <w:rFonts w:ascii="宋体" w:hAnsi="宋体" w:cs="宋体" w:hint="eastAsia"/>
            <w:b/>
            <w:bCs/>
          </w:rPr>
          <w:t>公众参与对象与内容</w:t>
        </w:r>
        <w:r>
          <w:tab/>
        </w:r>
        <w:fldSimple w:instr=" PAGEREF _Toc12940 ">
          <w:r>
            <w:rPr>
              <w:noProof/>
            </w:rPr>
            <w:t>42</w:t>
          </w:r>
        </w:fldSimple>
      </w:hyperlink>
    </w:p>
    <w:p w:rsidR="005E49F7" w:rsidRDefault="005E49F7" w:rsidP="00D23914">
      <w:pPr>
        <w:pStyle w:val="TOC2"/>
        <w:tabs>
          <w:tab w:val="right" w:leader="dot" w:pos="9026"/>
        </w:tabs>
        <w:ind w:left="31680"/>
      </w:pPr>
      <w:hyperlink w:anchor="_Toc16995" w:history="1">
        <w:r>
          <w:rPr>
            <w:rFonts w:ascii="宋体" w:hAnsi="宋体" w:cs="宋体"/>
            <w:b/>
            <w:bCs/>
          </w:rPr>
          <w:t>4.3</w:t>
        </w:r>
        <w:r>
          <w:rPr>
            <w:rFonts w:ascii="宋体" w:hAnsi="宋体" w:cs="宋体" w:hint="eastAsia"/>
            <w:b/>
            <w:bCs/>
          </w:rPr>
          <w:t>规划环评公示</w:t>
        </w:r>
        <w:r>
          <w:tab/>
        </w:r>
        <w:fldSimple w:instr=" PAGEREF _Toc16995 ">
          <w:r>
            <w:rPr>
              <w:noProof/>
            </w:rPr>
            <w:t>42</w:t>
          </w:r>
        </w:fldSimple>
      </w:hyperlink>
    </w:p>
    <w:p w:rsidR="005E49F7" w:rsidRDefault="005E49F7">
      <w:pPr>
        <w:pStyle w:val="TOC1"/>
        <w:tabs>
          <w:tab w:val="right" w:leader="dot" w:pos="9026"/>
        </w:tabs>
      </w:pPr>
      <w:hyperlink w:anchor="_Toc13565" w:history="1">
        <w:r>
          <w:rPr>
            <w:rFonts w:ascii="宋体" w:hAnsi="宋体" w:cs="宋体"/>
            <w:b/>
            <w:bCs/>
          </w:rPr>
          <w:t>5</w:t>
        </w:r>
        <w:r>
          <w:rPr>
            <w:rFonts w:ascii="宋体" w:hAnsi="宋体" w:cs="宋体" w:hint="eastAsia"/>
            <w:b/>
            <w:bCs/>
          </w:rPr>
          <w:t>环境影响评价结论</w:t>
        </w:r>
        <w:r>
          <w:tab/>
        </w:r>
        <w:fldSimple w:instr=" PAGEREF _Toc13565 ">
          <w:r>
            <w:rPr>
              <w:noProof/>
            </w:rPr>
            <w:t>45</w:t>
          </w:r>
        </w:fldSimple>
      </w:hyperlink>
    </w:p>
    <w:p w:rsidR="005E49F7" w:rsidRDefault="005E49F7">
      <w:pPr>
        <w:pStyle w:val="TOC1"/>
        <w:tabs>
          <w:tab w:val="right" w:leader="dot" w:pos="9026"/>
        </w:tabs>
      </w:pPr>
      <w:hyperlink w:anchor="_Toc29757" w:history="1">
        <w:r>
          <w:rPr>
            <w:rFonts w:ascii="宋体" w:hAnsi="宋体" w:cs="宋体"/>
            <w:b/>
            <w:bCs/>
          </w:rPr>
          <w:t>6</w:t>
        </w:r>
        <w:r>
          <w:rPr>
            <w:rFonts w:ascii="宋体" w:hAnsi="宋体" w:cs="宋体" w:hint="eastAsia"/>
            <w:b/>
            <w:bCs/>
          </w:rPr>
          <w:t>联系方式</w:t>
        </w:r>
        <w:r>
          <w:tab/>
        </w:r>
        <w:fldSimple w:instr=" PAGEREF _Toc29757 ">
          <w:r>
            <w:rPr>
              <w:noProof/>
            </w:rPr>
            <w:t>46</w:t>
          </w:r>
        </w:fldSimple>
      </w:hyperlink>
    </w:p>
    <w:p w:rsidR="005E49F7" w:rsidRDefault="005E49F7">
      <w:pPr>
        <w:spacing w:line="360" w:lineRule="auto"/>
        <w:jc w:val="center"/>
        <w:rPr>
          <w:rFonts w:hAnsi="宋体"/>
          <w:spacing w:val="30"/>
          <w:sz w:val="28"/>
          <w:szCs w:val="28"/>
        </w:rPr>
      </w:pPr>
      <w:r>
        <w:rPr>
          <w:rFonts w:hAnsi="宋体"/>
          <w:spacing w:val="30"/>
          <w:sz w:val="28"/>
          <w:szCs w:val="28"/>
        </w:rPr>
        <w:fldChar w:fldCharType="end"/>
      </w:r>
    </w:p>
    <w:p w:rsidR="005E49F7" w:rsidRDefault="005E49F7">
      <w:pPr>
        <w:spacing w:line="360" w:lineRule="auto"/>
        <w:jc w:val="center"/>
        <w:rPr>
          <w:rFonts w:hAnsi="宋体"/>
          <w:spacing w:val="30"/>
          <w:sz w:val="28"/>
          <w:szCs w:val="28"/>
        </w:rPr>
      </w:pPr>
      <w:r>
        <w:rPr>
          <w:rFonts w:hAnsi="宋体"/>
          <w:spacing w:val="30"/>
          <w:sz w:val="28"/>
          <w:szCs w:val="28"/>
        </w:rPr>
        <w:br w:type="page"/>
      </w:r>
    </w:p>
    <w:p w:rsidR="005E49F7" w:rsidRDefault="005E49F7">
      <w:pPr>
        <w:spacing w:line="360" w:lineRule="auto"/>
        <w:jc w:val="left"/>
        <w:outlineLvl w:val="0"/>
        <w:rPr>
          <w:rFonts w:ascii="宋体"/>
          <w:b/>
          <w:bCs/>
          <w:sz w:val="28"/>
          <w:szCs w:val="28"/>
        </w:rPr>
      </w:pPr>
      <w:bookmarkStart w:id="0" w:name="_Toc25352"/>
      <w:r>
        <w:rPr>
          <w:rFonts w:ascii="宋体" w:hAnsi="宋体" w:cs="宋体"/>
          <w:b/>
          <w:bCs/>
          <w:sz w:val="28"/>
          <w:szCs w:val="28"/>
        </w:rPr>
        <w:t>1</w:t>
      </w:r>
      <w:r>
        <w:rPr>
          <w:rFonts w:ascii="宋体" w:hAnsi="宋体" w:cs="宋体" w:hint="eastAsia"/>
          <w:b/>
          <w:bCs/>
          <w:sz w:val="28"/>
          <w:szCs w:val="28"/>
        </w:rPr>
        <w:t>建设项目概况</w:t>
      </w:r>
      <w:bookmarkEnd w:id="0"/>
    </w:p>
    <w:p w:rsidR="005E49F7" w:rsidRDefault="005E49F7">
      <w:pPr>
        <w:spacing w:line="360" w:lineRule="auto"/>
        <w:jc w:val="left"/>
        <w:outlineLvl w:val="1"/>
        <w:rPr>
          <w:rFonts w:ascii="宋体"/>
          <w:b/>
          <w:bCs/>
          <w:sz w:val="28"/>
          <w:szCs w:val="28"/>
        </w:rPr>
      </w:pPr>
      <w:bookmarkStart w:id="1" w:name="_Toc17392"/>
      <w:r>
        <w:rPr>
          <w:rFonts w:ascii="宋体" w:hAnsi="宋体" w:cs="宋体"/>
          <w:b/>
          <w:bCs/>
          <w:sz w:val="28"/>
          <w:szCs w:val="28"/>
        </w:rPr>
        <w:t>1.1</w:t>
      </w:r>
      <w:r>
        <w:rPr>
          <w:rFonts w:ascii="宋体" w:hAnsi="宋体" w:cs="宋体" w:hint="eastAsia"/>
          <w:b/>
          <w:bCs/>
          <w:sz w:val="28"/>
          <w:szCs w:val="28"/>
        </w:rPr>
        <w:t>建设项目规划范围及相关背景</w:t>
      </w:r>
      <w:bookmarkEnd w:id="1"/>
    </w:p>
    <w:p w:rsidR="005E49F7" w:rsidRDefault="005E49F7">
      <w:pPr>
        <w:spacing w:line="360" w:lineRule="auto"/>
        <w:jc w:val="left"/>
        <w:rPr>
          <w:rFonts w:ascii="宋体"/>
          <w:b/>
          <w:bCs/>
        </w:rPr>
      </w:pPr>
      <w:bookmarkStart w:id="2" w:name="_Toc19929"/>
      <w:r>
        <w:rPr>
          <w:rFonts w:ascii="宋体" w:hAnsi="宋体" w:cs="宋体" w:hint="eastAsia"/>
          <w:b/>
          <w:bCs/>
        </w:rPr>
        <w:t>（</w:t>
      </w:r>
      <w:r>
        <w:rPr>
          <w:rFonts w:ascii="宋体" w:hAnsi="宋体" w:cs="宋体"/>
          <w:b/>
          <w:bCs/>
        </w:rPr>
        <w:t>1</w:t>
      </w:r>
      <w:r>
        <w:rPr>
          <w:rFonts w:ascii="宋体" w:hAnsi="宋体" w:cs="宋体" w:hint="eastAsia"/>
          <w:b/>
          <w:bCs/>
        </w:rPr>
        <w:t>）规划范围及期限</w:t>
      </w:r>
      <w:bookmarkEnd w:id="2"/>
    </w:p>
    <w:p w:rsidR="005E49F7" w:rsidRDefault="005E49F7" w:rsidP="00D23914">
      <w:pPr>
        <w:pStyle w:val="BodyText"/>
        <w:adjustRightInd w:val="0"/>
        <w:snapToGrid w:val="0"/>
        <w:spacing w:after="0"/>
        <w:ind w:firstLineChars="200" w:firstLine="31680"/>
        <w:rPr>
          <w:rFonts w:ascii="宋体"/>
          <w:kern w:val="2"/>
        </w:rPr>
      </w:pPr>
      <w:r>
        <w:rPr>
          <w:rFonts w:ascii="宋体" w:hAnsi="宋体" w:cs="宋体" w:hint="eastAsia"/>
          <w:kern w:val="2"/>
        </w:rPr>
        <w:t>梅州港规划范围为梅州市境内韩江、梅江、汀江等河流沿江岸线及其水陆域。</w:t>
      </w: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规划基础年</w:t>
      </w:r>
      <w:r>
        <w:rPr>
          <w:rFonts w:ascii="宋体" w:hAnsi="宋体" w:cs="宋体"/>
        </w:rPr>
        <w:t>2014</w:t>
      </w:r>
      <w:r>
        <w:rPr>
          <w:rFonts w:ascii="宋体" w:hAnsi="宋体" w:cs="宋体" w:hint="eastAsia"/>
        </w:rPr>
        <w:t>年，规划水平年</w:t>
      </w:r>
      <w:r>
        <w:rPr>
          <w:rFonts w:ascii="宋体" w:hAnsi="宋体" w:cs="宋体"/>
        </w:rPr>
        <w:t>2020</w:t>
      </w:r>
      <w:r>
        <w:rPr>
          <w:rFonts w:ascii="宋体" w:hAnsi="宋体" w:cs="宋体" w:hint="eastAsia"/>
        </w:rPr>
        <w:t>年、</w:t>
      </w:r>
      <w:r>
        <w:rPr>
          <w:rFonts w:ascii="宋体" w:hAnsi="宋体" w:cs="宋体"/>
        </w:rPr>
        <w:t>2030</w:t>
      </w:r>
      <w:r>
        <w:rPr>
          <w:rFonts w:ascii="宋体" w:hAnsi="宋体" w:cs="宋体" w:hint="eastAsia"/>
        </w:rPr>
        <w:t>年。</w:t>
      </w:r>
    </w:p>
    <w:p w:rsidR="005E49F7" w:rsidRDefault="005E49F7">
      <w:pPr>
        <w:adjustRightInd w:val="0"/>
        <w:snapToGrid w:val="0"/>
        <w:spacing w:line="360" w:lineRule="auto"/>
        <w:rPr>
          <w:rFonts w:ascii="宋体"/>
          <w:b/>
          <w:bCs/>
        </w:rPr>
      </w:pPr>
      <w:r>
        <w:rPr>
          <w:rFonts w:ascii="宋体" w:hAnsi="宋体" w:cs="宋体" w:hint="eastAsia"/>
          <w:b/>
          <w:bCs/>
        </w:rPr>
        <w:t>（</w:t>
      </w:r>
      <w:r>
        <w:rPr>
          <w:rFonts w:ascii="宋体" w:hAnsi="宋体" w:cs="宋体"/>
          <w:b/>
          <w:bCs/>
        </w:rPr>
        <w:t>2</w:t>
      </w:r>
      <w:r>
        <w:rPr>
          <w:rFonts w:ascii="宋体" w:hAnsi="宋体" w:cs="宋体" w:hint="eastAsia"/>
          <w:b/>
          <w:bCs/>
        </w:rPr>
        <w:t>）评价背景</w:t>
      </w:r>
    </w:p>
    <w:p w:rsidR="005E49F7" w:rsidRDefault="005E49F7">
      <w:pPr>
        <w:spacing w:line="360" w:lineRule="auto"/>
        <w:ind w:firstLine="482"/>
      </w:pPr>
      <w:r>
        <w:rPr>
          <w:rFonts w:hAnsi="宋体" w:cs="宋体" w:hint="eastAsia"/>
        </w:rPr>
        <w:t>梅州市地处广东省东北部，</w:t>
      </w:r>
      <w:r>
        <w:t>1988</w:t>
      </w:r>
      <w:r>
        <w:rPr>
          <w:rFonts w:hAnsi="宋体" w:cs="宋体" w:hint="eastAsia"/>
        </w:rPr>
        <w:t>年设立。东部与福建省交界，南部与</w:t>
      </w:r>
      <w:hyperlink r:id="rId8" w:history="1">
        <w:r>
          <w:rPr>
            <w:rStyle w:val="Hyperlink"/>
            <w:rFonts w:hAnsi="宋体" w:cs="宋体" w:hint="eastAsia"/>
            <w:color w:val="auto"/>
            <w:u w:val="none"/>
          </w:rPr>
          <w:t>潮州</w:t>
        </w:r>
      </w:hyperlink>
      <w:r>
        <w:rPr>
          <w:rFonts w:hAnsi="宋体" w:cs="宋体" w:hint="eastAsia"/>
        </w:rPr>
        <w:t>市、</w:t>
      </w:r>
      <w:hyperlink r:id="rId9" w:history="1">
        <w:r>
          <w:rPr>
            <w:rStyle w:val="Hyperlink"/>
            <w:rFonts w:hAnsi="宋体" w:cs="宋体" w:hint="eastAsia"/>
            <w:color w:val="auto"/>
            <w:u w:val="none"/>
          </w:rPr>
          <w:t>揭阳</w:t>
        </w:r>
      </w:hyperlink>
      <w:r>
        <w:rPr>
          <w:rFonts w:hAnsi="宋体" w:cs="宋体" w:hint="eastAsia"/>
        </w:rPr>
        <w:t>市、</w:t>
      </w:r>
      <w:hyperlink r:id="rId10" w:history="1">
        <w:r>
          <w:rPr>
            <w:rStyle w:val="Hyperlink"/>
            <w:rFonts w:hAnsi="宋体" w:cs="宋体" w:hint="eastAsia"/>
            <w:color w:val="auto"/>
            <w:u w:val="none"/>
          </w:rPr>
          <w:t>汕尾</w:t>
        </w:r>
      </w:hyperlink>
      <w:r>
        <w:rPr>
          <w:rFonts w:hAnsi="宋体" w:cs="宋体" w:hint="eastAsia"/>
        </w:rPr>
        <w:t>市毗邻，西部与</w:t>
      </w:r>
      <w:hyperlink r:id="rId11" w:history="1">
        <w:r>
          <w:rPr>
            <w:rStyle w:val="Hyperlink"/>
            <w:rFonts w:hAnsi="宋体" w:cs="宋体" w:hint="eastAsia"/>
            <w:color w:val="auto"/>
            <w:u w:val="none"/>
          </w:rPr>
          <w:t>河源</w:t>
        </w:r>
      </w:hyperlink>
      <w:r>
        <w:rPr>
          <w:rFonts w:hAnsi="宋体" w:cs="宋体" w:hint="eastAsia"/>
        </w:rPr>
        <w:t>市接壤，北部与江西省相连。梅州地处粤东北山区，辖区有韩江、梅江、琴江、五华河、宁江、程江、石窟河、汀江、梅潭河等河流。韩江由梅江、汀江及梅潭河汇入三河坝形成韩江水源头，其水系总长</w:t>
      </w:r>
      <w:r>
        <w:t>1422</w:t>
      </w:r>
      <w:r>
        <w:rPr>
          <w:rFonts w:hAnsi="宋体" w:cs="宋体" w:hint="eastAsia"/>
        </w:rPr>
        <w:t>公里，通航里程</w:t>
      </w:r>
      <w:r>
        <w:t>1006</w:t>
      </w:r>
      <w:r>
        <w:rPr>
          <w:rFonts w:hAnsi="宋体" w:cs="宋体" w:hint="eastAsia"/>
        </w:rPr>
        <w:t>公里，其中</w:t>
      </w:r>
      <w:r>
        <w:t>80%</w:t>
      </w:r>
      <w:r>
        <w:rPr>
          <w:rFonts w:hAnsi="宋体" w:cs="宋体" w:hint="eastAsia"/>
        </w:rPr>
        <w:t>流经梅州。韩江水系是沟通赣南、闽西和粤东北地区的水上交通大动脉，是梅州唯一的水上出海通道。</w:t>
      </w:r>
    </w:p>
    <w:p w:rsidR="005E49F7" w:rsidRDefault="005E49F7">
      <w:pPr>
        <w:spacing w:line="360" w:lineRule="auto"/>
        <w:ind w:firstLine="482"/>
      </w:pPr>
      <w:r>
        <w:rPr>
          <w:rFonts w:hAnsi="宋体" w:cs="宋体" w:hint="eastAsia"/>
        </w:rPr>
        <w:t>为振兴梅州水运发展，充分发挥港口对梅州经济社会发展的作用，梅州市交通运输局委托广东省航运规划设计院有限公司编制了《梅州港总体规划》。梅州港功能定位为：广东省内河重要港口，粤东北地区的重要交通枢纽，梅州市现代物流和临港工业发展的重要基础，应具备装卸储存、中转换装、多式联运、运输组织管理、临港产业开发、仓储、商贸、物流、旅游等功能。梅州港规划由梅州港区、大埔港区等</w:t>
      </w:r>
      <w:r>
        <w:t>2</w:t>
      </w:r>
      <w:r>
        <w:rPr>
          <w:rFonts w:hAnsi="宋体" w:cs="宋体" w:hint="eastAsia"/>
        </w:rPr>
        <w:t>个港区以及各市县港点组成，将形成客运以梅州港区为核心，货运以大埔港区为核心，以梅城、雁洋、松口、新铺、畲江、三河、茶阳、高陂作业区为基础、以各市县港点为补充的大中小泊位相结合、布局合理、功能完善的综合性港口。</w:t>
      </w:r>
    </w:p>
    <w:p w:rsidR="005E49F7" w:rsidRDefault="005E49F7">
      <w:pPr>
        <w:pStyle w:val="ab"/>
        <w:adjustRightInd/>
        <w:snapToGrid/>
        <w:spacing w:line="360" w:lineRule="auto"/>
        <w:ind w:firstLineChars="0" w:firstLine="482"/>
        <w:rPr>
          <w:rFonts w:hAnsi="宋体" w:cs="Times New Roman"/>
        </w:rPr>
      </w:pPr>
      <w:r>
        <w:rPr>
          <w:rFonts w:hAnsi="宋体" w:hint="eastAsia"/>
        </w:rPr>
        <w:t>为了对梅州港总体规划的未来发展进行科学的规划，并进行详细的分析论证，指导内河港的可持续发展；同时为贯彻落实《中华人民共和国环境影响评价法》、《规划环境影响评价条例》、《国务院关于落实科学发展观加强环境保护的决定》、《关于交通行业实施规划环境影响评价有关问题的通知》（交环发〔</w:t>
      </w:r>
      <w:r>
        <w:t>2004</w:t>
      </w:r>
      <w:r>
        <w:rPr>
          <w:rFonts w:hAnsi="宋体" w:hint="eastAsia"/>
        </w:rPr>
        <w:t>〕</w:t>
      </w:r>
      <w:r>
        <w:t>457</w:t>
      </w:r>
      <w:r>
        <w:rPr>
          <w:rFonts w:hAnsi="宋体" w:hint="eastAsia"/>
        </w:rPr>
        <w:t>号）以及《广东省人民政府关于进一步做好我省规划环境影响评价工作的通知》，需开展《梅州港总体规划》的环境影响评价。通过招投标方式，广州和元达环保发展有限公司和广州亿陆德交通工程技术有限公司中标承接《梅州港总体规划环境影响报告书》编制工作。在组织有关工作人员在现场踏勘和资料调研的基础上，编制单位编写完成了《梅州港总体规划环境影响报告书（征求意见稿）》，现呈送各相关部门征求意见。</w:t>
      </w:r>
    </w:p>
    <w:p w:rsidR="005E49F7" w:rsidRDefault="005E49F7">
      <w:pPr>
        <w:spacing w:line="360" w:lineRule="auto"/>
        <w:jc w:val="left"/>
        <w:outlineLvl w:val="1"/>
        <w:rPr>
          <w:rFonts w:ascii="宋体"/>
          <w:b/>
          <w:bCs/>
          <w:sz w:val="28"/>
          <w:szCs w:val="28"/>
        </w:rPr>
      </w:pPr>
      <w:bookmarkStart w:id="3" w:name="_Toc21204"/>
      <w:r>
        <w:rPr>
          <w:rFonts w:ascii="宋体" w:hAnsi="宋体" w:cs="宋体"/>
          <w:b/>
          <w:bCs/>
          <w:sz w:val="28"/>
          <w:szCs w:val="28"/>
        </w:rPr>
        <w:t>1.2</w:t>
      </w:r>
      <w:r>
        <w:rPr>
          <w:rFonts w:ascii="宋体" w:hAnsi="宋体" w:cs="宋体" w:hint="eastAsia"/>
          <w:b/>
          <w:bCs/>
          <w:sz w:val="28"/>
          <w:szCs w:val="28"/>
        </w:rPr>
        <w:t>项目规划内容</w:t>
      </w:r>
      <w:bookmarkEnd w:id="3"/>
    </w:p>
    <w:p w:rsidR="005E49F7" w:rsidRDefault="005E49F7">
      <w:pPr>
        <w:pStyle w:val="1"/>
        <w:numPr>
          <w:ilvl w:val="0"/>
          <w:numId w:val="1"/>
        </w:numPr>
        <w:ind w:firstLineChars="0" w:firstLine="480"/>
      </w:pPr>
      <w:r>
        <w:rPr>
          <w:rFonts w:cs="宋体" w:hint="eastAsia"/>
        </w:rPr>
        <w:t>港区布局</w:t>
      </w:r>
    </w:p>
    <w:p w:rsidR="005E49F7" w:rsidRDefault="005E49F7" w:rsidP="00D23914">
      <w:pPr>
        <w:pStyle w:val="1"/>
        <w:ind w:firstLine="31680"/>
      </w:pPr>
      <w:r>
        <w:t xml:space="preserve"> </w:t>
      </w:r>
      <w:r>
        <w:rPr>
          <w:rFonts w:cs="宋体" w:hint="eastAsia"/>
        </w:rPr>
        <w:t>梅州港规划由梅州港区、大埔港区等</w:t>
      </w:r>
      <w:r>
        <w:t>2</w:t>
      </w:r>
      <w:r>
        <w:rPr>
          <w:rFonts w:cs="宋体" w:hint="eastAsia"/>
        </w:rPr>
        <w:t>个港区以及各市县港点组成将形成客运以梅州港区为核心，货运以大埔港区为核心，以梅城、雁洋、松口、新铺、畲江、三河、茶阳、高陂作业区为基础、以各市县港点为补充的大中小泊位相结合、布局合理、功能完善的综合性港口。梅州港总体布局规划见表</w:t>
      </w:r>
      <w:r>
        <w:t>1.2-1</w:t>
      </w:r>
      <w:r>
        <w:rPr>
          <w:rFonts w:cs="宋体" w:hint="eastAsia"/>
        </w:rPr>
        <w:t>。</w:t>
      </w:r>
    </w:p>
    <w:p w:rsidR="005E49F7" w:rsidRDefault="005E49F7">
      <w:pPr>
        <w:pStyle w:val="Heading5"/>
        <w:spacing w:beforeLines="0"/>
      </w:pPr>
      <w:r>
        <w:rPr>
          <w:rFonts w:cs="黑体" w:hint="eastAsia"/>
        </w:rPr>
        <w:t>表</w:t>
      </w:r>
      <w:r>
        <w:t>1.2-1</w:t>
      </w:r>
      <w:r>
        <w:rPr>
          <w:rFonts w:cs="黑体" w:hint="eastAsia"/>
        </w:rPr>
        <w:t>梅州港总体布局规划表</w:t>
      </w:r>
    </w:p>
    <w:tbl>
      <w:tblPr>
        <w:tblW w:w="89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40"/>
        <w:gridCol w:w="1838"/>
        <w:gridCol w:w="2520"/>
        <w:gridCol w:w="2605"/>
      </w:tblGrid>
      <w:tr w:rsidR="005E49F7">
        <w:trPr>
          <w:trHeight w:val="340"/>
        </w:trPr>
        <w:tc>
          <w:tcPr>
            <w:tcW w:w="1940" w:type="dxa"/>
            <w:vAlign w:val="center"/>
          </w:tcPr>
          <w:p w:rsidR="005E49F7" w:rsidRDefault="005E49F7">
            <w:pPr>
              <w:spacing w:line="240" w:lineRule="auto"/>
              <w:jc w:val="center"/>
              <w:rPr>
                <w:rFonts w:ascii="宋体"/>
                <w:b/>
                <w:bCs/>
                <w:sz w:val="21"/>
                <w:szCs w:val="21"/>
              </w:rPr>
            </w:pPr>
            <w:r>
              <w:rPr>
                <w:rFonts w:ascii="宋体" w:hAnsi="宋体" w:cs="宋体" w:hint="eastAsia"/>
                <w:b/>
                <w:bCs/>
                <w:sz w:val="21"/>
                <w:szCs w:val="21"/>
              </w:rPr>
              <w:t>规划名称</w:t>
            </w:r>
          </w:p>
        </w:tc>
        <w:tc>
          <w:tcPr>
            <w:tcW w:w="1838" w:type="dxa"/>
            <w:vAlign w:val="center"/>
          </w:tcPr>
          <w:p w:rsidR="005E49F7" w:rsidRDefault="005E49F7">
            <w:pPr>
              <w:spacing w:line="240" w:lineRule="auto"/>
              <w:jc w:val="center"/>
              <w:rPr>
                <w:rFonts w:ascii="宋体"/>
                <w:b/>
                <w:bCs/>
                <w:sz w:val="21"/>
                <w:szCs w:val="21"/>
              </w:rPr>
            </w:pPr>
            <w:r>
              <w:rPr>
                <w:rFonts w:ascii="宋体" w:hAnsi="宋体" w:cs="宋体" w:hint="eastAsia"/>
                <w:b/>
                <w:bCs/>
                <w:sz w:val="21"/>
                <w:szCs w:val="21"/>
              </w:rPr>
              <w:t>所在行政区域</w:t>
            </w:r>
          </w:p>
        </w:tc>
        <w:tc>
          <w:tcPr>
            <w:tcW w:w="2520" w:type="dxa"/>
            <w:vAlign w:val="center"/>
          </w:tcPr>
          <w:p w:rsidR="005E49F7" w:rsidRDefault="005E49F7">
            <w:pPr>
              <w:spacing w:line="240" w:lineRule="auto"/>
              <w:jc w:val="center"/>
              <w:rPr>
                <w:rFonts w:ascii="宋体"/>
                <w:b/>
                <w:bCs/>
                <w:sz w:val="21"/>
                <w:szCs w:val="21"/>
              </w:rPr>
            </w:pPr>
            <w:r>
              <w:rPr>
                <w:rFonts w:ascii="宋体" w:hAnsi="宋体" w:cs="宋体" w:hint="eastAsia"/>
                <w:b/>
                <w:bCs/>
                <w:sz w:val="21"/>
                <w:szCs w:val="21"/>
              </w:rPr>
              <w:t>性质及用途</w:t>
            </w:r>
          </w:p>
        </w:tc>
        <w:tc>
          <w:tcPr>
            <w:tcW w:w="2605" w:type="dxa"/>
            <w:vAlign w:val="center"/>
          </w:tcPr>
          <w:p w:rsidR="005E49F7" w:rsidRDefault="005E49F7">
            <w:pPr>
              <w:spacing w:line="240" w:lineRule="auto"/>
              <w:jc w:val="center"/>
              <w:rPr>
                <w:rFonts w:ascii="宋体"/>
                <w:b/>
                <w:bCs/>
                <w:sz w:val="21"/>
                <w:szCs w:val="21"/>
              </w:rPr>
            </w:pPr>
            <w:r>
              <w:rPr>
                <w:rFonts w:ascii="宋体" w:hAnsi="宋体" w:cs="宋体" w:hint="eastAsia"/>
                <w:b/>
                <w:bCs/>
                <w:sz w:val="21"/>
                <w:szCs w:val="21"/>
              </w:rPr>
              <w:t>备注</w:t>
            </w:r>
          </w:p>
        </w:tc>
      </w:tr>
      <w:tr w:rsidR="005E49F7">
        <w:trPr>
          <w:trHeight w:val="340"/>
        </w:trPr>
        <w:tc>
          <w:tcPr>
            <w:tcW w:w="1940" w:type="dxa"/>
            <w:vAlign w:val="center"/>
          </w:tcPr>
          <w:p w:rsidR="005E49F7" w:rsidRDefault="005E49F7">
            <w:pPr>
              <w:spacing w:line="240" w:lineRule="auto"/>
              <w:jc w:val="center"/>
              <w:rPr>
                <w:rFonts w:ascii="宋体"/>
                <w:b/>
                <w:bCs/>
                <w:sz w:val="21"/>
                <w:szCs w:val="21"/>
              </w:rPr>
            </w:pPr>
            <w:r>
              <w:rPr>
                <w:rFonts w:ascii="宋体" w:hAnsi="宋体" w:cs="宋体" w:hint="eastAsia"/>
                <w:b/>
                <w:bCs/>
                <w:sz w:val="21"/>
                <w:szCs w:val="21"/>
              </w:rPr>
              <w:t>一、规划港区</w:t>
            </w:r>
          </w:p>
        </w:tc>
        <w:tc>
          <w:tcPr>
            <w:tcW w:w="1838" w:type="dxa"/>
            <w:vAlign w:val="center"/>
          </w:tcPr>
          <w:p w:rsidR="005E49F7" w:rsidRDefault="005E49F7">
            <w:pPr>
              <w:spacing w:line="240" w:lineRule="auto"/>
              <w:jc w:val="center"/>
              <w:rPr>
                <w:rFonts w:ascii="宋体"/>
                <w:b/>
                <w:bCs/>
                <w:sz w:val="21"/>
                <w:szCs w:val="21"/>
              </w:rPr>
            </w:pPr>
          </w:p>
        </w:tc>
        <w:tc>
          <w:tcPr>
            <w:tcW w:w="2520" w:type="dxa"/>
            <w:vAlign w:val="center"/>
          </w:tcPr>
          <w:p w:rsidR="005E49F7" w:rsidRDefault="005E49F7">
            <w:pPr>
              <w:spacing w:line="240" w:lineRule="auto"/>
              <w:jc w:val="center"/>
              <w:rPr>
                <w:rFonts w:ascii="宋体"/>
                <w:b/>
                <w:bCs/>
                <w:sz w:val="21"/>
                <w:szCs w:val="21"/>
              </w:rPr>
            </w:pPr>
          </w:p>
        </w:tc>
        <w:tc>
          <w:tcPr>
            <w:tcW w:w="2605" w:type="dxa"/>
            <w:vAlign w:val="center"/>
          </w:tcPr>
          <w:p w:rsidR="005E49F7" w:rsidRDefault="005E49F7">
            <w:pPr>
              <w:spacing w:line="240" w:lineRule="auto"/>
              <w:jc w:val="center"/>
              <w:rPr>
                <w:rFonts w:ascii="宋体"/>
                <w:b/>
                <w:bCs/>
                <w:sz w:val="21"/>
                <w:szCs w:val="21"/>
              </w:rPr>
            </w:pPr>
          </w:p>
        </w:tc>
      </w:tr>
      <w:tr w:rsidR="005E49F7">
        <w:trPr>
          <w:trHeight w:val="340"/>
        </w:trPr>
        <w:tc>
          <w:tcPr>
            <w:tcW w:w="1940" w:type="dxa"/>
            <w:vAlign w:val="center"/>
          </w:tcPr>
          <w:p w:rsidR="005E49F7" w:rsidRDefault="005E49F7">
            <w:pPr>
              <w:adjustRightInd w:val="0"/>
              <w:snapToGrid w:val="0"/>
              <w:spacing w:line="240" w:lineRule="auto"/>
              <w:jc w:val="center"/>
              <w:rPr>
                <w:rFonts w:ascii="宋体"/>
                <w:sz w:val="21"/>
                <w:szCs w:val="21"/>
              </w:rPr>
            </w:pPr>
            <w:r>
              <w:rPr>
                <w:rFonts w:ascii="宋体" w:hAnsi="宋体" w:cs="宋体" w:hint="eastAsia"/>
                <w:sz w:val="21"/>
                <w:szCs w:val="21"/>
              </w:rPr>
              <w:t>梅州港区</w:t>
            </w:r>
          </w:p>
        </w:tc>
        <w:tc>
          <w:tcPr>
            <w:tcW w:w="1838" w:type="dxa"/>
            <w:vAlign w:val="center"/>
          </w:tcPr>
          <w:p w:rsidR="005E49F7" w:rsidRDefault="005E49F7">
            <w:pPr>
              <w:adjustRightInd w:val="0"/>
              <w:snapToGrid w:val="0"/>
              <w:spacing w:line="240" w:lineRule="auto"/>
              <w:jc w:val="center"/>
              <w:rPr>
                <w:rFonts w:ascii="宋体"/>
                <w:sz w:val="21"/>
                <w:szCs w:val="21"/>
              </w:rPr>
            </w:pPr>
            <w:r>
              <w:rPr>
                <w:rFonts w:ascii="宋体" w:hAnsi="宋体" w:cs="宋体" w:hint="eastAsia"/>
                <w:sz w:val="21"/>
                <w:szCs w:val="21"/>
              </w:rPr>
              <w:t>中心城区</w:t>
            </w:r>
          </w:p>
        </w:tc>
        <w:tc>
          <w:tcPr>
            <w:tcW w:w="2520" w:type="dxa"/>
            <w:vAlign w:val="center"/>
          </w:tcPr>
          <w:p w:rsidR="005E49F7" w:rsidRDefault="005E49F7">
            <w:pPr>
              <w:adjustRightInd w:val="0"/>
              <w:snapToGrid w:val="0"/>
              <w:spacing w:line="240" w:lineRule="auto"/>
              <w:jc w:val="center"/>
              <w:rPr>
                <w:rFonts w:ascii="宋体"/>
                <w:sz w:val="21"/>
                <w:szCs w:val="21"/>
              </w:rPr>
            </w:pPr>
          </w:p>
        </w:tc>
        <w:tc>
          <w:tcPr>
            <w:tcW w:w="2605" w:type="dxa"/>
            <w:vAlign w:val="center"/>
          </w:tcPr>
          <w:p w:rsidR="005E49F7" w:rsidRDefault="005E49F7">
            <w:pPr>
              <w:adjustRightInd w:val="0"/>
              <w:snapToGrid w:val="0"/>
              <w:spacing w:line="240" w:lineRule="auto"/>
              <w:jc w:val="center"/>
              <w:rPr>
                <w:rFonts w:ascii="宋体"/>
                <w:sz w:val="21"/>
                <w:szCs w:val="21"/>
              </w:rPr>
            </w:pPr>
          </w:p>
        </w:tc>
      </w:tr>
      <w:tr w:rsidR="005E49F7">
        <w:trPr>
          <w:trHeight w:val="340"/>
        </w:trPr>
        <w:tc>
          <w:tcPr>
            <w:tcW w:w="194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大埔港区</w:t>
            </w:r>
          </w:p>
        </w:tc>
        <w:tc>
          <w:tcPr>
            <w:tcW w:w="1838"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大埔县</w:t>
            </w:r>
          </w:p>
        </w:tc>
        <w:tc>
          <w:tcPr>
            <w:tcW w:w="2520" w:type="dxa"/>
            <w:vAlign w:val="center"/>
          </w:tcPr>
          <w:p w:rsidR="005E49F7" w:rsidRDefault="005E49F7">
            <w:pPr>
              <w:spacing w:line="240" w:lineRule="auto"/>
              <w:jc w:val="center"/>
              <w:rPr>
                <w:rFonts w:ascii="宋体"/>
                <w:sz w:val="21"/>
                <w:szCs w:val="21"/>
              </w:rPr>
            </w:pPr>
          </w:p>
        </w:tc>
        <w:tc>
          <w:tcPr>
            <w:tcW w:w="2605" w:type="dxa"/>
            <w:vAlign w:val="center"/>
          </w:tcPr>
          <w:p w:rsidR="005E49F7" w:rsidRDefault="005E49F7">
            <w:pPr>
              <w:spacing w:line="240" w:lineRule="auto"/>
              <w:jc w:val="center"/>
              <w:rPr>
                <w:rFonts w:ascii="宋体"/>
                <w:sz w:val="21"/>
                <w:szCs w:val="21"/>
              </w:rPr>
            </w:pPr>
          </w:p>
        </w:tc>
      </w:tr>
      <w:tr w:rsidR="005E49F7">
        <w:trPr>
          <w:trHeight w:val="340"/>
        </w:trPr>
        <w:tc>
          <w:tcPr>
            <w:tcW w:w="1940" w:type="dxa"/>
            <w:vAlign w:val="center"/>
          </w:tcPr>
          <w:p w:rsidR="005E49F7" w:rsidRDefault="005E49F7">
            <w:pPr>
              <w:spacing w:line="240" w:lineRule="auto"/>
              <w:jc w:val="center"/>
              <w:rPr>
                <w:rFonts w:ascii="宋体"/>
                <w:sz w:val="21"/>
                <w:szCs w:val="21"/>
              </w:rPr>
            </w:pPr>
            <w:r>
              <w:rPr>
                <w:rFonts w:ascii="宋体" w:hAnsi="宋体" w:cs="宋体" w:hint="eastAsia"/>
                <w:b/>
                <w:bCs/>
                <w:sz w:val="21"/>
                <w:szCs w:val="21"/>
              </w:rPr>
              <w:t>二、规划作业区</w:t>
            </w:r>
          </w:p>
        </w:tc>
        <w:tc>
          <w:tcPr>
            <w:tcW w:w="1838" w:type="dxa"/>
            <w:vAlign w:val="center"/>
          </w:tcPr>
          <w:p w:rsidR="005E49F7" w:rsidRDefault="005E49F7">
            <w:pPr>
              <w:spacing w:line="240" w:lineRule="auto"/>
              <w:jc w:val="center"/>
              <w:rPr>
                <w:rFonts w:ascii="宋体"/>
                <w:sz w:val="21"/>
                <w:szCs w:val="21"/>
              </w:rPr>
            </w:pPr>
          </w:p>
        </w:tc>
        <w:tc>
          <w:tcPr>
            <w:tcW w:w="2520" w:type="dxa"/>
            <w:vAlign w:val="center"/>
          </w:tcPr>
          <w:p w:rsidR="005E49F7" w:rsidRDefault="005E49F7">
            <w:pPr>
              <w:spacing w:line="240" w:lineRule="auto"/>
              <w:jc w:val="center"/>
              <w:rPr>
                <w:rFonts w:ascii="宋体"/>
                <w:sz w:val="21"/>
                <w:szCs w:val="21"/>
              </w:rPr>
            </w:pPr>
          </w:p>
        </w:tc>
        <w:tc>
          <w:tcPr>
            <w:tcW w:w="2605" w:type="dxa"/>
            <w:vAlign w:val="center"/>
          </w:tcPr>
          <w:p w:rsidR="005E49F7" w:rsidRDefault="005E49F7">
            <w:pPr>
              <w:spacing w:line="240" w:lineRule="auto"/>
              <w:jc w:val="center"/>
              <w:rPr>
                <w:rFonts w:ascii="宋体"/>
                <w:sz w:val="21"/>
                <w:szCs w:val="21"/>
              </w:rPr>
            </w:pPr>
          </w:p>
        </w:tc>
      </w:tr>
      <w:tr w:rsidR="005E49F7">
        <w:trPr>
          <w:trHeight w:val="340"/>
        </w:trPr>
        <w:tc>
          <w:tcPr>
            <w:tcW w:w="194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梅城作业区</w:t>
            </w:r>
          </w:p>
        </w:tc>
        <w:tc>
          <w:tcPr>
            <w:tcW w:w="1838"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中心城区</w:t>
            </w:r>
          </w:p>
        </w:tc>
        <w:tc>
          <w:tcPr>
            <w:tcW w:w="252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旅游货运</w:t>
            </w:r>
          </w:p>
        </w:tc>
        <w:tc>
          <w:tcPr>
            <w:tcW w:w="2605" w:type="dxa"/>
            <w:vAlign w:val="center"/>
          </w:tcPr>
          <w:p w:rsidR="005E49F7" w:rsidRDefault="005E49F7">
            <w:pPr>
              <w:spacing w:line="240" w:lineRule="auto"/>
              <w:jc w:val="center"/>
              <w:rPr>
                <w:rFonts w:ascii="宋体"/>
                <w:sz w:val="21"/>
                <w:szCs w:val="21"/>
              </w:rPr>
            </w:pPr>
          </w:p>
        </w:tc>
      </w:tr>
      <w:tr w:rsidR="005E49F7">
        <w:trPr>
          <w:trHeight w:val="340"/>
        </w:trPr>
        <w:tc>
          <w:tcPr>
            <w:tcW w:w="194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雁洋作业区</w:t>
            </w:r>
          </w:p>
        </w:tc>
        <w:tc>
          <w:tcPr>
            <w:tcW w:w="1838"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雁洋新城</w:t>
            </w:r>
          </w:p>
        </w:tc>
        <w:tc>
          <w:tcPr>
            <w:tcW w:w="252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旅游客运及货运</w:t>
            </w:r>
          </w:p>
        </w:tc>
        <w:tc>
          <w:tcPr>
            <w:tcW w:w="2605" w:type="dxa"/>
            <w:vAlign w:val="center"/>
          </w:tcPr>
          <w:p w:rsidR="005E49F7" w:rsidRDefault="005E49F7">
            <w:pPr>
              <w:spacing w:line="240" w:lineRule="auto"/>
              <w:jc w:val="center"/>
              <w:rPr>
                <w:rFonts w:ascii="宋体"/>
                <w:sz w:val="21"/>
                <w:szCs w:val="21"/>
              </w:rPr>
            </w:pPr>
          </w:p>
        </w:tc>
      </w:tr>
      <w:tr w:rsidR="005E49F7">
        <w:trPr>
          <w:trHeight w:val="340"/>
        </w:trPr>
        <w:tc>
          <w:tcPr>
            <w:tcW w:w="194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松口作业区</w:t>
            </w:r>
          </w:p>
        </w:tc>
        <w:tc>
          <w:tcPr>
            <w:tcW w:w="1838"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松口镇</w:t>
            </w:r>
          </w:p>
        </w:tc>
        <w:tc>
          <w:tcPr>
            <w:tcW w:w="252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旅游客运及货运</w:t>
            </w:r>
          </w:p>
        </w:tc>
        <w:tc>
          <w:tcPr>
            <w:tcW w:w="2605" w:type="dxa"/>
            <w:vAlign w:val="center"/>
          </w:tcPr>
          <w:p w:rsidR="005E49F7" w:rsidRDefault="005E49F7">
            <w:pPr>
              <w:spacing w:line="240" w:lineRule="auto"/>
              <w:jc w:val="center"/>
              <w:rPr>
                <w:rFonts w:ascii="宋体"/>
                <w:sz w:val="21"/>
                <w:szCs w:val="21"/>
              </w:rPr>
            </w:pPr>
          </w:p>
        </w:tc>
      </w:tr>
      <w:tr w:rsidR="005E49F7">
        <w:trPr>
          <w:trHeight w:val="340"/>
        </w:trPr>
        <w:tc>
          <w:tcPr>
            <w:tcW w:w="194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新铺作业区</w:t>
            </w:r>
          </w:p>
        </w:tc>
        <w:tc>
          <w:tcPr>
            <w:tcW w:w="1838"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新铺镇</w:t>
            </w:r>
          </w:p>
        </w:tc>
        <w:tc>
          <w:tcPr>
            <w:tcW w:w="252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货运</w:t>
            </w:r>
          </w:p>
        </w:tc>
        <w:tc>
          <w:tcPr>
            <w:tcW w:w="2605" w:type="dxa"/>
            <w:vAlign w:val="center"/>
          </w:tcPr>
          <w:p w:rsidR="005E49F7" w:rsidRDefault="005E49F7">
            <w:pPr>
              <w:spacing w:line="240" w:lineRule="auto"/>
              <w:jc w:val="center"/>
              <w:rPr>
                <w:rFonts w:ascii="宋体"/>
                <w:sz w:val="21"/>
                <w:szCs w:val="21"/>
              </w:rPr>
            </w:pPr>
          </w:p>
        </w:tc>
      </w:tr>
      <w:tr w:rsidR="005E49F7">
        <w:trPr>
          <w:trHeight w:val="340"/>
        </w:trPr>
        <w:tc>
          <w:tcPr>
            <w:tcW w:w="194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畲江作业区</w:t>
            </w:r>
          </w:p>
        </w:tc>
        <w:tc>
          <w:tcPr>
            <w:tcW w:w="1838"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畲江镇</w:t>
            </w:r>
          </w:p>
        </w:tc>
        <w:tc>
          <w:tcPr>
            <w:tcW w:w="252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货运</w:t>
            </w:r>
          </w:p>
        </w:tc>
        <w:tc>
          <w:tcPr>
            <w:tcW w:w="2605" w:type="dxa"/>
            <w:vAlign w:val="center"/>
          </w:tcPr>
          <w:p w:rsidR="005E49F7" w:rsidRDefault="005E49F7">
            <w:pPr>
              <w:spacing w:line="240" w:lineRule="auto"/>
              <w:jc w:val="center"/>
              <w:rPr>
                <w:rFonts w:ascii="宋体"/>
                <w:sz w:val="21"/>
                <w:szCs w:val="21"/>
              </w:rPr>
            </w:pPr>
          </w:p>
        </w:tc>
      </w:tr>
      <w:tr w:rsidR="005E49F7">
        <w:trPr>
          <w:trHeight w:val="340"/>
        </w:trPr>
        <w:tc>
          <w:tcPr>
            <w:tcW w:w="194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三河作业区</w:t>
            </w:r>
          </w:p>
        </w:tc>
        <w:tc>
          <w:tcPr>
            <w:tcW w:w="1838"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三河镇</w:t>
            </w:r>
          </w:p>
        </w:tc>
        <w:tc>
          <w:tcPr>
            <w:tcW w:w="252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货运及旅游客运</w:t>
            </w:r>
          </w:p>
        </w:tc>
        <w:tc>
          <w:tcPr>
            <w:tcW w:w="2605" w:type="dxa"/>
            <w:vAlign w:val="center"/>
          </w:tcPr>
          <w:p w:rsidR="005E49F7" w:rsidRDefault="005E49F7">
            <w:pPr>
              <w:spacing w:line="240" w:lineRule="auto"/>
              <w:jc w:val="center"/>
              <w:rPr>
                <w:rFonts w:ascii="宋体"/>
                <w:sz w:val="21"/>
                <w:szCs w:val="21"/>
              </w:rPr>
            </w:pPr>
          </w:p>
        </w:tc>
      </w:tr>
      <w:tr w:rsidR="005E49F7">
        <w:trPr>
          <w:trHeight w:val="340"/>
        </w:trPr>
        <w:tc>
          <w:tcPr>
            <w:tcW w:w="194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茶阳作业区</w:t>
            </w:r>
          </w:p>
        </w:tc>
        <w:tc>
          <w:tcPr>
            <w:tcW w:w="1838"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茶阳镇</w:t>
            </w:r>
          </w:p>
        </w:tc>
        <w:tc>
          <w:tcPr>
            <w:tcW w:w="252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货运</w:t>
            </w:r>
          </w:p>
        </w:tc>
        <w:tc>
          <w:tcPr>
            <w:tcW w:w="2605" w:type="dxa"/>
            <w:vAlign w:val="center"/>
          </w:tcPr>
          <w:p w:rsidR="005E49F7" w:rsidRDefault="005E49F7">
            <w:pPr>
              <w:spacing w:line="240" w:lineRule="auto"/>
              <w:jc w:val="center"/>
              <w:rPr>
                <w:rFonts w:ascii="宋体"/>
                <w:sz w:val="21"/>
                <w:szCs w:val="21"/>
              </w:rPr>
            </w:pPr>
          </w:p>
        </w:tc>
      </w:tr>
      <w:tr w:rsidR="005E49F7">
        <w:trPr>
          <w:trHeight w:val="340"/>
        </w:trPr>
        <w:tc>
          <w:tcPr>
            <w:tcW w:w="194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高陂作业区</w:t>
            </w:r>
          </w:p>
        </w:tc>
        <w:tc>
          <w:tcPr>
            <w:tcW w:w="1838"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高陂镇</w:t>
            </w:r>
          </w:p>
        </w:tc>
        <w:tc>
          <w:tcPr>
            <w:tcW w:w="252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货运</w:t>
            </w:r>
          </w:p>
        </w:tc>
        <w:tc>
          <w:tcPr>
            <w:tcW w:w="2605" w:type="dxa"/>
            <w:vAlign w:val="center"/>
          </w:tcPr>
          <w:p w:rsidR="005E49F7" w:rsidRDefault="005E49F7">
            <w:pPr>
              <w:spacing w:line="240" w:lineRule="auto"/>
              <w:jc w:val="center"/>
              <w:rPr>
                <w:rFonts w:ascii="宋体"/>
                <w:sz w:val="21"/>
                <w:szCs w:val="21"/>
              </w:rPr>
            </w:pPr>
          </w:p>
        </w:tc>
      </w:tr>
      <w:tr w:rsidR="005E49F7">
        <w:trPr>
          <w:trHeight w:val="340"/>
        </w:trPr>
        <w:tc>
          <w:tcPr>
            <w:tcW w:w="1940" w:type="dxa"/>
            <w:vAlign w:val="center"/>
          </w:tcPr>
          <w:p w:rsidR="005E49F7" w:rsidRDefault="005E49F7">
            <w:pPr>
              <w:spacing w:line="240" w:lineRule="auto"/>
              <w:jc w:val="center"/>
              <w:rPr>
                <w:rFonts w:ascii="宋体"/>
                <w:b/>
                <w:bCs/>
                <w:sz w:val="21"/>
                <w:szCs w:val="21"/>
              </w:rPr>
            </w:pPr>
            <w:r>
              <w:rPr>
                <w:rFonts w:ascii="宋体" w:hAnsi="宋体" w:cs="宋体" w:hint="eastAsia"/>
                <w:b/>
                <w:bCs/>
                <w:sz w:val="21"/>
                <w:szCs w:val="21"/>
              </w:rPr>
              <w:t>三、规划港点</w:t>
            </w:r>
          </w:p>
        </w:tc>
        <w:tc>
          <w:tcPr>
            <w:tcW w:w="1838" w:type="dxa"/>
            <w:vAlign w:val="center"/>
          </w:tcPr>
          <w:p w:rsidR="005E49F7" w:rsidRDefault="005E49F7">
            <w:pPr>
              <w:spacing w:line="240" w:lineRule="auto"/>
              <w:jc w:val="center"/>
              <w:rPr>
                <w:rFonts w:ascii="宋体"/>
                <w:b/>
                <w:bCs/>
                <w:sz w:val="21"/>
                <w:szCs w:val="21"/>
              </w:rPr>
            </w:pPr>
          </w:p>
        </w:tc>
        <w:tc>
          <w:tcPr>
            <w:tcW w:w="2520" w:type="dxa"/>
            <w:vAlign w:val="center"/>
          </w:tcPr>
          <w:p w:rsidR="005E49F7" w:rsidRDefault="005E49F7">
            <w:pPr>
              <w:spacing w:line="240" w:lineRule="auto"/>
              <w:jc w:val="center"/>
              <w:rPr>
                <w:rFonts w:ascii="宋体"/>
                <w:b/>
                <w:bCs/>
                <w:sz w:val="21"/>
                <w:szCs w:val="21"/>
              </w:rPr>
            </w:pPr>
          </w:p>
        </w:tc>
        <w:tc>
          <w:tcPr>
            <w:tcW w:w="2605" w:type="dxa"/>
            <w:vAlign w:val="center"/>
          </w:tcPr>
          <w:p w:rsidR="005E49F7" w:rsidRDefault="005E49F7">
            <w:pPr>
              <w:spacing w:line="240" w:lineRule="auto"/>
              <w:jc w:val="center"/>
              <w:rPr>
                <w:rFonts w:ascii="宋体"/>
                <w:b/>
                <w:bCs/>
                <w:sz w:val="21"/>
                <w:szCs w:val="21"/>
              </w:rPr>
            </w:pPr>
          </w:p>
        </w:tc>
      </w:tr>
      <w:tr w:rsidR="005E49F7">
        <w:trPr>
          <w:trHeight w:val="340"/>
        </w:trPr>
        <w:tc>
          <w:tcPr>
            <w:tcW w:w="194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蓬辣码头</w:t>
            </w:r>
          </w:p>
        </w:tc>
        <w:tc>
          <w:tcPr>
            <w:tcW w:w="1838"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蓬辣头</w:t>
            </w:r>
          </w:p>
        </w:tc>
        <w:tc>
          <w:tcPr>
            <w:tcW w:w="2520" w:type="dxa"/>
            <w:vAlign w:val="center"/>
          </w:tcPr>
          <w:p w:rsidR="005E49F7" w:rsidRDefault="005E49F7">
            <w:pPr>
              <w:spacing w:line="240" w:lineRule="auto"/>
              <w:jc w:val="center"/>
              <w:rPr>
                <w:rFonts w:ascii="宋体"/>
                <w:sz w:val="21"/>
                <w:szCs w:val="21"/>
              </w:rPr>
            </w:pPr>
          </w:p>
        </w:tc>
        <w:tc>
          <w:tcPr>
            <w:tcW w:w="2605"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建材码头</w:t>
            </w:r>
          </w:p>
        </w:tc>
      </w:tr>
      <w:tr w:rsidR="005E49F7">
        <w:trPr>
          <w:trHeight w:val="340"/>
        </w:trPr>
        <w:tc>
          <w:tcPr>
            <w:tcW w:w="194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银江码头</w:t>
            </w:r>
          </w:p>
        </w:tc>
        <w:tc>
          <w:tcPr>
            <w:tcW w:w="1838"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银江河口</w:t>
            </w:r>
          </w:p>
        </w:tc>
        <w:tc>
          <w:tcPr>
            <w:tcW w:w="2520" w:type="dxa"/>
            <w:vAlign w:val="center"/>
          </w:tcPr>
          <w:p w:rsidR="005E49F7" w:rsidRDefault="005E49F7">
            <w:pPr>
              <w:spacing w:line="240" w:lineRule="auto"/>
              <w:jc w:val="center"/>
              <w:rPr>
                <w:rFonts w:ascii="宋体"/>
                <w:sz w:val="21"/>
                <w:szCs w:val="21"/>
              </w:rPr>
            </w:pPr>
          </w:p>
        </w:tc>
        <w:tc>
          <w:tcPr>
            <w:tcW w:w="2605"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建材码头</w:t>
            </w:r>
          </w:p>
        </w:tc>
      </w:tr>
      <w:tr w:rsidR="005E49F7">
        <w:trPr>
          <w:trHeight w:val="340"/>
        </w:trPr>
        <w:tc>
          <w:tcPr>
            <w:tcW w:w="194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高陂码头</w:t>
            </w:r>
          </w:p>
        </w:tc>
        <w:tc>
          <w:tcPr>
            <w:tcW w:w="1838"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高陂镇</w:t>
            </w:r>
          </w:p>
        </w:tc>
        <w:tc>
          <w:tcPr>
            <w:tcW w:w="252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海事公务码头</w:t>
            </w:r>
          </w:p>
        </w:tc>
        <w:tc>
          <w:tcPr>
            <w:tcW w:w="2605" w:type="dxa"/>
            <w:vAlign w:val="center"/>
          </w:tcPr>
          <w:p w:rsidR="005E49F7" w:rsidRDefault="005E49F7">
            <w:pPr>
              <w:spacing w:line="240" w:lineRule="auto"/>
              <w:jc w:val="center"/>
              <w:rPr>
                <w:rFonts w:ascii="宋体"/>
                <w:sz w:val="21"/>
                <w:szCs w:val="21"/>
              </w:rPr>
            </w:pPr>
          </w:p>
        </w:tc>
      </w:tr>
      <w:tr w:rsidR="005E49F7">
        <w:trPr>
          <w:trHeight w:val="340"/>
        </w:trPr>
        <w:tc>
          <w:tcPr>
            <w:tcW w:w="194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留隍码头</w:t>
            </w:r>
          </w:p>
        </w:tc>
        <w:tc>
          <w:tcPr>
            <w:tcW w:w="1838"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留隍镇</w:t>
            </w:r>
          </w:p>
        </w:tc>
        <w:tc>
          <w:tcPr>
            <w:tcW w:w="2520" w:type="dxa"/>
            <w:vAlign w:val="center"/>
          </w:tcPr>
          <w:p w:rsidR="005E49F7" w:rsidRDefault="005E49F7">
            <w:pPr>
              <w:spacing w:line="240" w:lineRule="auto"/>
              <w:jc w:val="center"/>
              <w:rPr>
                <w:rFonts w:ascii="宋体"/>
                <w:sz w:val="21"/>
                <w:szCs w:val="21"/>
              </w:rPr>
            </w:pPr>
            <w:r>
              <w:rPr>
                <w:rFonts w:ascii="宋体" w:hAnsi="宋体" w:cs="宋体" w:hint="eastAsia"/>
                <w:sz w:val="21"/>
                <w:szCs w:val="21"/>
              </w:rPr>
              <w:t>海事公务码头</w:t>
            </w:r>
          </w:p>
        </w:tc>
        <w:tc>
          <w:tcPr>
            <w:tcW w:w="2605" w:type="dxa"/>
            <w:vAlign w:val="center"/>
          </w:tcPr>
          <w:p w:rsidR="005E49F7" w:rsidRDefault="005E49F7">
            <w:pPr>
              <w:spacing w:line="240" w:lineRule="auto"/>
              <w:jc w:val="center"/>
              <w:rPr>
                <w:rFonts w:ascii="宋体"/>
                <w:sz w:val="21"/>
                <w:szCs w:val="21"/>
              </w:rPr>
            </w:pPr>
          </w:p>
        </w:tc>
      </w:tr>
      <w:tr w:rsidR="005E49F7">
        <w:trPr>
          <w:trHeight w:val="340"/>
        </w:trPr>
        <w:tc>
          <w:tcPr>
            <w:tcW w:w="1940" w:type="dxa"/>
            <w:vAlign w:val="center"/>
          </w:tcPr>
          <w:p w:rsidR="005E49F7" w:rsidRDefault="005E49F7">
            <w:pPr>
              <w:spacing w:line="240" w:lineRule="auto"/>
              <w:jc w:val="center"/>
              <w:rPr>
                <w:rFonts w:ascii="宋体"/>
                <w:b/>
                <w:bCs/>
                <w:sz w:val="21"/>
                <w:szCs w:val="21"/>
              </w:rPr>
            </w:pPr>
            <w:r>
              <w:rPr>
                <w:rFonts w:ascii="宋体" w:hAnsi="宋体" w:cs="宋体" w:hint="eastAsia"/>
                <w:b/>
                <w:bCs/>
                <w:sz w:val="21"/>
                <w:szCs w:val="21"/>
              </w:rPr>
              <w:t>三、其它码头</w:t>
            </w:r>
          </w:p>
        </w:tc>
        <w:tc>
          <w:tcPr>
            <w:tcW w:w="6963" w:type="dxa"/>
            <w:gridSpan w:val="3"/>
            <w:vAlign w:val="center"/>
          </w:tcPr>
          <w:p w:rsidR="005E49F7" w:rsidRDefault="005E49F7">
            <w:pPr>
              <w:spacing w:line="240" w:lineRule="auto"/>
              <w:jc w:val="center"/>
              <w:rPr>
                <w:rFonts w:ascii="宋体"/>
                <w:sz w:val="21"/>
                <w:szCs w:val="21"/>
              </w:rPr>
            </w:pPr>
            <w:r>
              <w:rPr>
                <w:rFonts w:ascii="宋体" w:hAnsi="宋体" w:cs="宋体" w:hint="eastAsia"/>
                <w:sz w:val="21"/>
                <w:szCs w:val="21"/>
              </w:rPr>
              <w:t>包括采砂码头、渡口客运码头</w:t>
            </w:r>
          </w:p>
        </w:tc>
      </w:tr>
    </w:tbl>
    <w:p w:rsidR="005E49F7" w:rsidRDefault="005E49F7">
      <w:pPr>
        <w:pStyle w:val="1"/>
        <w:ind w:firstLineChars="0" w:firstLine="0"/>
      </w:pPr>
    </w:p>
    <w:p w:rsidR="005E49F7" w:rsidRDefault="005E49F7" w:rsidP="00D23914">
      <w:pPr>
        <w:pStyle w:val="ad"/>
        <w:spacing w:beforeLines="0" w:afterLines="0"/>
        <w:ind w:firstLine="31680"/>
      </w:pPr>
      <w:r>
        <w:rPr>
          <w:rFonts w:cs="黑体" w:hint="eastAsia"/>
        </w:rPr>
        <w:t>（</w:t>
      </w:r>
      <w:r>
        <w:t>2</w:t>
      </w:r>
      <w:r>
        <w:rPr>
          <w:rFonts w:cs="黑体" w:hint="eastAsia"/>
        </w:rPr>
        <w:t>）港区布置规划</w:t>
      </w:r>
    </w:p>
    <w:p w:rsidR="005E49F7" w:rsidRDefault="005E49F7" w:rsidP="00D23914">
      <w:pPr>
        <w:adjustRightInd w:val="0"/>
        <w:snapToGrid w:val="0"/>
        <w:spacing w:beforeLines="50" w:afterLines="50" w:line="360" w:lineRule="auto"/>
        <w:ind w:firstLineChars="192" w:firstLine="31680"/>
        <w:rPr>
          <w:rFonts w:ascii="宋体"/>
        </w:rPr>
      </w:pPr>
      <w:r>
        <w:rPr>
          <w:rFonts w:ascii="宋体" w:hAnsi="宋体" w:cs="宋体" w:hint="eastAsia"/>
        </w:rPr>
        <w:t>一、梅州港区</w:t>
      </w:r>
    </w:p>
    <w:p w:rsidR="005E49F7" w:rsidRDefault="005E49F7" w:rsidP="00D23914">
      <w:pPr>
        <w:adjustRightInd w:val="0"/>
        <w:snapToGrid w:val="0"/>
        <w:spacing w:line="360" w:lineRule="auto"/>
        <w:ind w:firstLineChars="192" w:firstLine="31680"/>
        <w:rPr>
          <w:rFonts w:ascii="宋体"/>
        </w:rPr>
      </w:pPr>
      <w:r>
        <w:rPr>
          <w:rFonts w:ascii="宋体" w:hAnsi="宋体" w:cs="宋体"/>
        </w:rPr>
        <w:t>1</w:t>
      </w:r>
      <w:r>
        <w:rPr>
          <w:rFonts w:ascii="宋体" w:hAnsi="宋体" w:cs="宋体" w:hint="eastAsia"/>
        </w:rPr>
        <w:t>．梅城作业区</w:t>
      </w:r>
    </w:p>
    <w:p w:rsidR="005E49F7" w:rsidRDefault="005E49F7">
      <w:pPr>
        <w:adjustRightInd w:val="0"/>
        <w:snapToGrid w:val="0"/>
        <w:spacing w:line="360" w:lineRule="auto"/>
        <w:jc w:val="center"/>
      </w:pPr>
      <w:r w:rsidRPr="007E49DF">
        <w:rPr>
          <w:b/>
          <w:bCs/>
          <w:noProof/>
          <w:sz w:val="28"/>
          <w:szCs w:val="28"/>
        </w:rPr>
        <w:pict>
          <v:shape id="图片 2" o:spid="_x0000_i1026" type="#_x0000_t75" style="width:425.25pt;height:209.25pt;visibility:visible">
            <v:imagedata r:id="rId12" o:title=""/>
          </v:shape>
        </w:pict>
      </w:r>
      <w:r>
        <w:rPr>
          <w:rFonts w:cs="宋体" w:hint="eastAsia"/>
          <w:b/>
          <w:bCs/>
          <w:sz w:val="21"/>
          <w:szCs w:val="21"/>
        </w:rPr>
        <w:t>图</w:t>
      </w:r>
      <w:r>
        <w:rPr>
          <w:b/>
          <w:bCs/>
          <w:sz w:val="21"/>
          <w:szCs w:val="21"/>
        </w:rPr>
        <w:t xml:space="preserve">1.2-1  </w:t>
      </w:r>
      <w:r>
        <w:rPr>
          <w:rFonts w:cs="宋体" w:hint="eastAsia"/>
          <w:b/>
          <w:bCs/>
          <w:sz w:val="21"/>
          <w:szCs w:val="21"/>
        </w:rPr>
        <w:t>梅州港区梅城作业区货运码头规划位置图</w:t>
      </w:r>
    </w:p>
    <w:p w:rsidR="005E49F7" w:rsidRDefault="005E49F7" w:rsidP="00D23914">
      <w:pPr>
        <w:adjustRightInd w:val="0"/>
        <w:snapToGrid w:val="0"/>
        <w:spacing w:line="360" w:lineRule="auto"/>
        <w:ind w:firstLineChars="192" w:firstLine="31680"/>
        <w:rPr>
          <w:rFonts w:ascii="宋体"/>
        </w:rPr>
      </w:pPr>
      <w:r>
        <w:rPr>
          <w:rFonts w:ascii="宋体" w:hAnsi="宋体" w:cs="宋体" w:hint="eastAsia"/>
        </w:rPr>
        <w:t>规划该作业区沿梅江右岸，该段岸线位于梅江右岸，蔡四庄对岸，龙宫至蒲蔚小学。岸线长度</w:t>
      </w:r>
      <w:r>
        <w:rPr>
          <w:rFonts w:ascii="宋体" w:hAnsi="宋体" w:cs="宋体"/>
        </w:rPr>
        <w:t>400m</w:t>
      </w:r>
      <w:r>
        <w:rPr>
          <w:rFonts w:ascii="宋体" w:hAnsi="宋体" w:cs="宋体" w:hint="eastAsia"/>
        </w:rPr>
        <w:t>，岸线可以布置</w:t>
      </w:r>
      <w:r>
        <w:rPr>
          <w:rFonts w:ascii="宋体" w:hAnsi="宋体" w:cs="宋体"/>
        </w:rPr>
        <w:t>300</w:t>
      </w:r>
      <w:r>
        <w:rPr>
          <w:rFonts w:ascii="宋体" w:hAnsi="宋体" w:cs="宋体" w:hint="eastAsia"/>
        </w:rPr>
        <w:t>吨级货运码头</w:t>
      </w:r>
      <w:r>
        <w:rPr>
          <w:rFonts w:ascii="宋体" w:hAnsi="宋体" w:cs="宋体"/>
        </w:rPr>
        <w:t>7</w:t>
      </w:r>
      <w:r>
        <w:rPr>
          <w:rFonts w:ascii="宋体" w:hAnsi="宋体" w:cs="宋体" w:hint="eastAsia"/>
        </w:rPr>
        <w:t>个</w:t>
      </w:r>
    </w:p>
    <w:p w:rsidR="005E49F7" w:rsidRDefault="005E49F7">
      <w:pPr>
        <w:adjustRightInd w:val="0"/>
        <w:snapToGrid w:val="0"/>
        <w:spacing w:line="360" w:lineRule="auto"/>
      </w:pPr>
      <w:r>
        <w:t>2</w:t>
      </w:r>
      <w:r>
        <w:rPr>
          <w:rFonts w:cs="宋体" w:hint="eastAsia"/>
        </w:rPr>
        <w:t>、雁洋作业区</w:t>
      </w:r>
    </w:p>
    <w:p w:rsidR="005E49F7" w:rsidRDefault="005E49F7">
      <w:pPr>
        <w:adjustRightInd w:val="0"/>
        <w:snapToGrid w:val="0"/>
        <w:spacing w:line="360" w:lineRule="auto"/>
        <w:rPr>
          <w:b/>
          <w:bCs/>
          <w:sz w:val="28"/>
          <w:szCs w:val="28"/>
        </w:rPr>
      </w:pPr>
      <w:r w:rsidRPr="007E49DF">
        <w:rPr>
          <w:b/>
          <w:bCs/>
          <w:noProof/>
          <w:sz w:val="28"/>
          <w:szCs w:val="28"/>
        </w:rPr>
        <w:pict>
          <v:shape id="图片 3" o:spid="_x0000_i1027" type="#_x0000_t75" style="width:425.25pt;height:239.25pt;visibility:visible">
            <v:imagedata r:id="rId13" o:title=""/>
          </v:shape>
        </w:pict>
      </w:r>
    </w:p>
    <w:p w:rsidR="005E49F7" w:rsidRDefault="005E49F7">
      <w:pPr>
        <w:pStyle w:val="Heading5"/>
        <w:spacing w:before="120"/>
        <w:rPr>
          <w:b/>
          <w:bCs/>
        </w:rPr>
      </w:pPr>
      <w:r>
        <w:rPr>
          <w:rFonts w:cs="黑体" w:hint="eastAsia"/>
        </w:rPr>
        <w:t>图</w:t>
      </w:r>
      <w:r>
        <w:t xml:space="preserve">1.2-2   </w:t>
      </w:r>
      <w:r>
        <w:rPr>
          <w:rFonts w:cs="黑体" w:hint="eastAsia"/>
        </w:rPr>
        <w:t>梅州港区雁洋作业区客运码头规划位置图</w:t>
      </w: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雁洋作业区客运码头规划位置位于梅江左岸和右岸，雁洋新城火车站附近及对岸，两岸岸线长度各</w:t>
      </w:r>
      <w:r>
        <w:rPr>
          <w:rFonts w:ascii="宋体" w:hAnsi="宋体" w:cs="宋体"/>
        </w:rPr>
        <w:t>200m</w:t>
      </w:r>
      <w:r>
        <w:rPr>
          <w:rFonts w:ascii="宋体" w:hAnsi="宋体" w:cs="宋体" w:hint="eastAsia"/>
        </w:rPr>
        <w:t>，左岸后方陆域约</w:t>
      </w:r>
      <w:r>
        <w:rPr>
          <w:rFonts w:ascii="宋体" w:hAnsi="宋体" w:cs="宋体"/>
        </w:rPr>
        <w:t>100-150m</w:t>
      </w:r>
      <w:r>
        <w:rPr>
          <w:rFonts w:ascii="宋体" w:hAnsi="宋体" w:cs="宋体" w:hint="eastAsia"/>
        </w:rPr>
        <w:t>为铁路线，右岸后方陆域纵深较宽阔，距公路约</w:t>
      </w:r>
      <w:r>
        <w:rPr>
          <w:rFonts w:ascii="宋体" w:hAnsi="宋体" w:cs="宋体"/>
        </w:rPr>
        <w:t>150-250m</w:t>
      </w:r>
      <w:r>
        <w:rPr>
          <w:rFonts w:ascii="宋体" w:hAnsi="宋体" w:cs="宋体" w:hint="eastAsia"/>
        </w:rPr>
        <w:t>，陆域尚未开发。</w:t>
      </w:r>
    </w:p>
    <w:p w:rsidR="005E49F7" w:rsidRDefault="005E49F7">
      <w:pPr>
        <w:adjustRightInd w:val="0"/>
        <w:snapToGrid w:val="0"/>
        <w:spacing w:line="360" w:lineRule="auto"/>
        <w:jc w:val="center"/>
        <w:rPr>
          <w:rFonts w:ascii="宋体"/>
        </w:rPr>
      </w:pPr>
      <w:r w:rsidRPr="007E49DF">
        <w:rPr>
          <w:noProof/>
          <w:sz w:val="37"/>
          <w:szCs w:val="37"/>
          <w:shd w:val="solid" w:color="FFFFFF" w:fill="auto"/>
        </w:rPr>
        <w:pict>
          <v:shape id="图片 4" o:spid="_x0000_i1028" type="#_x0000_t75" style="width:424.5pt;height:240pt;visibility:visible">
            <v:imagedata r:id="rId14" o:title=""/>
          </v:shape>
        </w:pict>
      </w:r>
      <w:r>
        <w:rPr>
          <w:rFonts w:cs="宋体" w:hint="eastAsia"/>
          <w:b/>
          <w:bCs/>
          <w:sz w:val="21"/>
          <w:szCs w:val="21"/>
        </w:rPr>
        <w:t>图</w:t>
      </w:r>
      <w:r>
        <w:rPr>
          <w:b/>
          <w:bCs/>
          <w:sz w:val="21"/>
          <w:szCs w:val="21"/>
        </w:rPr>
        <w:t xml:space="preserve">1.2-3  </w:t>
      </w:r>
      <w:r>
        <w:rPr>
          <w:rFonts w:cs="宋体" w:hint="eastAsia"/>
          <w:b/>
          <w:bCs/>
          <w:sz w:val="21"/>
          <w:szCs w:val="21"/>
        </w:rPr>
        <w:t>梅州港区雁洋作业区货运码头规划位置图</w:t>
      </w:r>
    </w:p>
    <w:p w:rsidR="005E49F7" w:rsidRDefault="005E49F7" w:rsidP="00D23914">
      <w:pPr>
        <w:adjustRightInd w:val="0"/>
        <w:snapToGrid w:val="0"/>
        <w:spacing w:line="360" w:lineRule="auto"/>
        <w:ind w:firstLineChars="192" w:firstLine="31680"/>
        <w:rPr>
          <w:rFonts w:ascii="宋体"/>
        </w:rPr>
      </w:pPr>
      <w:r>
        <w:rPr>
          <w:rFonts w:ascii="宋体" w:hAnsi="宋体" w:cs="宋体" w:hint="eastAsia"/>
        </w:rPr>
        <w:t>雁洋作业区原有货运码头因水运业务萎缩，丙村镇水利防洪大提建设时将其覆盖，现在规划货运码头岸线位于梅江与石窟河交汇处，货运码头岸线分为两段。</w:t>
      </w:r>
    </w:p>
    <w:p w:rsidR="005E49F7" w:rsidRDefault="005E49F7" w:rsidP="00D23914">
      <w:pPr>
        <w:adjustRightInd w:val="0"/>
        <w:snapToGrid w:val="0"/>
        <w:spacing w:line="360" w:lineRule="auto"/>
        <w:ind w:firstLineChars="192" w:firstLine="31680"/>
        <w:rPr>
          <w:rFonts w:ascii="宋体"/>
        </w:rPr>
      </w:pPr>
      <w:r>
        <w:rPr>
          <w:rFonts w:ascii="宋体" w:hAnsi="宋体" w:cs="宋体" w:hint="eastAsia"/>
        </w:rPr>
        <w:t>第一段位于梅江左岸，丙村镇大桥下游至石窟河右岸，岸线范围为渠化河段，岸线长</w:t>
      </w:r>
      <w:r>
        <w:rPr>
          <w:rFonts w:ascii="宋体" w:hAnsi="宋体" w:cs="宋体"/>
        </w:rPr>
        <w:t>1800m</w:t>
      </w:r>
      <w:r>
        <w:rPr>
          <w:rFonts w:ascii="宋体" w:hAnsi="宋体" w:cs="宋体" w:hint="eastAsia"/>
        </w:rPr>
        <w:t>。河段基本顺直，水域宽阔，河宽</w:t>
      </w:r>
      <w:r>
        <w:rPr>
          <w:rFonts w:ascii="宋体" w:hAnsi="宋体" w:cs="宋体"/>
        </w:rPr>
        <w:t>250—300m</w:t>
      </w:r>
      <w:r>
        <w:rPr>
          <w:rFonts w:ascii="宋体" w:hAnsi="宋体" w:cs="宋体" w:hint="eastAsia"/>
        </w:rPr>
        <w:t>，岸后方陆域平坦，梅江左岸岸线后方距省道</w:t>
      </w:r>
      <w:r>
        <w:rPr>
          <w:rFonts w:ascii="宋体" w:hAnsi="宋体" w:cs="宋体"/>
        </w:rPr>
        <w:t>223</w:t>
      </w:r>
      <w:r>
        <w:rPr>
          <w:rFonts w:ascii="宋体" w:hAnsi="宋体" w:cs="宋体" w:hint="eastAsia"/>
        </w:rPr>
        <w:t>线</w:t>
      </w:r>
      <w:r>
        <w:rPr>
          <w:rFonts w:ascii="宋体" w:hAnsi="宋体" w:cs="宋体"/>
        </w:rPr>
        <w:t>500—600m</w:t>
      </w:r>
      <w:r>
        <w:rPr>
          <w:rFonts w:ascii="宋体" w:hAnsi="宋体" w:cs="宋体" w:hint="eastAsia"/>
        </w:rPr>
        <w:t>，规划可布置</w:t>
      </w:r>
      <w:r>
        <w:rPr>
          <w:rFonts w:ascii="宋体" w:hAnsi="宋体" w:cs="宋体"/>
        </w:rPr>
        <w:t>300</w:t>
      </w:r>
      <w:r>
        <w:rPr>
          <w:rFonts w:ascii="宋体" w:hAnsi="宋体" w:cs="宋体" w:hint="eastAsia"/>
        </w:rPr>
        <w:t>吨级货运码头</w:t>
      </w:r>
      <w:r>
        <w:rPr>
          <w:rFonts w:ascii="宋体" w:hAnsi="宋体" w:cs="宋体"/>
        </w:rPr>
        <w:t>35</w:t>
      </w:r>
      <w:r>
        <w:rPr>
          <w:rFonts w:ascii="宋体" w:hAnsi="宋体" w:cs="宋体" w:hint="eastAsia"/>
        </w:rPr>
        <w:t>个。</w:t>
      </w:r>
    </w:p>
    <w:p w:rsidR="005E49F7" w:rsidRDefault="005E49F7" w:rsidP="00D23914">
      <w:pPr>
        <w:adjustRightInd w:val="0"/>
        <w:snapToGrid w:val="0"/>
        <w:spacing w:line="360" w:lineRule="auto"/>
        <w:ind w:firstLineChars="192" w:firstLine="31680"/>
        <w:rPr>
          <w:rFonts w:ascii="宋体"/>
        </w:rPr>
      </w:pPr>
      <w:r>
        <w:rPr>
          <w:rFonts w:ascii="宋体" w:hAnsi="宋体" w:cs="宋体" w:hint="eastAsia"/>
        </w:rPr>
        <w:t>第二段位于梅江左岸及石窟河左岸，</w:t>
      </w:r>
      <w:r>
        <w:rPr>
          <w:rFonts w:ascii="宋体" w:hAnsi="宋体" w:cs="宋体"/>
        </w:rPr>
        <w:t>223</w:t>
      </w:r>
      <w:r>
        <w:rPr>
          <w:rFonts w:ascii="宋体" w:hAnsi="宋体" w:cs="宋体" w:hint="eastAsia"/>
        </w:rPr>
        <w:t>省道石窟河桥下游至</w:t>
      </w:r>
      <w:r>
        <w:rPr>
          <w:rFonts w:ascii="宋体" w:hAnsi="宋体" w:cs="宋体"/>
        </w:rPr>
        <w:t>223</w:t>
      </w:r>
      <w:r>
        <w:rPr>
          <w:rFonts w:ascii="宋体" w:hAnsi="宋体" w:cs="宋体" w:hint="eastAsia"/>
        </w:rPr>
        <w:t>省道梅江桥上游，岸线范围为渠化河段，岸线长</w:t>
      </w:r>
      <w:r>
        <w:rPr>
          <w:rFonts w:ascii="宋体" w:hAnsi="宋体" w:cs="宋体"/>
        </w:rPr>
        <w:t>1000m</w:t>
      </w:r>
      <w:r>
        <w:rPr>
          <w:rFonts w:ascii="宋体" w:hAnsi="宋体" w:cs="宋体" w:hint="eastAsia"/>
        </w:rPr>
        <w:t>，河段为石窟河与梅江交汇处，水域宽阔，岸后方陆域平坦，岸线未利用，梅江左岸岸线后方距省道</w:t>
      </w:r>
      <w:r>
        <w:rPr>
          <w:rFonts w:ascii="宋体" w:hAnsi="宋体" w:cs="宋体"/>
        </w:rPr>
        <w:t>223</w:t>
      </w:r>
      <w:r>
        <w:rPr>
          <w:rFonts w:ascii="宋体" w:hAnsi="宋体" w:cs="宋体" w:hint="eastAsia"/>
        </w:rPr>
        <w:t>线</w:t>
      </w:r>
      <w:r>
        <w:rPr>
          <w:rFonts w:ascii="宋体" w:hAnsi="宋体" w:cs="宋体"/>
        </w:rPr>
        <w:t>300—600m</w:t>
      </w:r>
      <w:r>
        <w:rPr>
          <w:rFonts w:ascii="宋体" w:hAnsi="宋体" w:cs="宋体" w:hint="eastAsia"/>
        </w:rPr>
        <w:t>，规划可布置</w:t>
      </w:r>
      <w:r>
        <w:rPr>
          <w:rFonts w:ascii="宋体" w:hAnsi="宋体" w:cs="宋体"/>
        </w:rPr>
        <w:t>300</w:t>
      </w:r>
      <w:r>
        <w:rPr>
          <w:rFonts w:ascii="宋体" w:hAnsi="宋体" w:cs="宋体" w:hint="eastAsia"/>
        </w:rPr>
        <w:t>吨级货运码头</w:t>
      </w:r>
      <w:r>
        <w:rPr>
          <w:rFonts w:ascii="宋体" w:hAnsi="宋体" w:cs="宋体"/>
        </w:rPr>
        <w:t>19</w:t>
      </w:r>
      <w:r>
        <w:rPr>
          <w:rFonts w:ascii="宋体" w:hAnsi="宋体" w:cs="宋体" w:hint="eastAsia"/>
        </w:rPr>
        <w:t>个。</w:t>
      </w:r>
    </w:p>
    <w:p w:rsidR="005E49F7" w:rsidRDefault="005E49F7" w:rsidP="00D23914">
      <w:pPr>
        <w:adjustRightInd w:val="0"/>
        <w:snapToGrid w:val="0"/>
        <w:spacing w:line="360" w:lineRule="auto"/>
        <w:ind w:leftChars="192" w:left="31680"/>
      </w:pPr>
      <w:r>
        <w:t>3</w:t>
      </w:r>
      <w:r>
        <w:rPr>
          <w:rFonts w:cs="宋体" w:hint="eastAsia"/>
        </w:rPr>
        <w:t>、松口作业区</w:t>
      </w: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松口作业区货运码头岸线分为四段，岸线范围为渠化河段，河段处于松源河与梅江交汇处，水域宽阔，河宽</w:t>
      </w:r>
      <w:r>
        <w:rPr>
          <w:rFonts w:ascii="宋体" w:hAnsi="宋体" w:cs="宋体"/>
        </w:rPr>
        <w:t>250—300m</w:t>
      </w:r>
      <w:r>
        <w:rPr>
          <w:rFonts w:ascii="宋体" w:hAnsi="宋体" w:cs="宋体" w:hint="eastAsia"/>
        </w:rPr>
        <w:t>。</w:t>
      </w: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货运码头岸线：</w:t>
      </w: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第一段位于梅江右岸，松口梅州对岸，黄屋附近，岸线长</w:t>
      </w:r>
      <w:r>
        <w:rPr>
          <w:rFonts w:ascii="宋体" w:hAnsi="宋体" w:cs="宋体"/>
        </w:rPr>
        <w:t>644m</w:t>
      </w:r>
      <w:r>
        <w:rPr>
          <w:rFonts w:ascii="宋体" w:hAnsi="宋体" w:cs="宋体" w:hint="eastAsia"/>
        </w:rPr>
        <w:t>，岸线后方距省道</w:t>
      </w:r>
      <w:r>
        <w:rPr>
          <w:rFonts w:ascii="宋体" w:hAnsi="宋体" w:cs="宋体"/>
        </w:rPr>
        <w:t>223</w:t>
      </w:r>
      <w:r>
        <w:rPr>
          <w:rFonts w:ascii="宋体" w:hAnsi="宋体" w:cs="宋体" w:hint="eastAsia"/>
        </w:rPr>
        <w:t>线约</w:t>
      </w:r>
      <w:r>
        <w:rPr>
          <w:rFonts w:ascii="宋体" w:hAnsi="宋体" w:cs="宋体"/>
        </w:rPr>
        <w:t>850m</w:t>
      </w:r>
      <w:r>
        <w:rPr>
          <w:rFonts w:ascii="宋体" w:hAnsi="宋体" w:cs="宋体" w:hint="eastAsia"/>
        </w:rPr>
        <w:t>，规划可布置</w:t>
      </w:r>
      <w:r>
        <w:rPr>
          <w:rFonts w:ascii="宋体" w:hAnsi="宋体" w:cs="宋体"/>
        </w:rPr>
        <w:t>300</w:t>
      </w:r>
      <w:r>
        <w:rPr>
          <w:rFonts w:ascii="宋体" w:hAnsi="宋体" w:cs="宋体" w:hint="eastAsia"/>
        </w:rPr>
        <w:t>吨级码头</w:t>
      </w:r>
      <w:r>
        <w:rPr>
          <w:rFonts w:ascii="宋体" w:hAnsi="宋体" w:cs="宋体"/>
        </w:rPr>
        <w:t>12</w:t>
      </w:r>
      <w:r>
        <w:rPr>
          <w:rFonts w:ascii="宋体" w:hAnsi="宋体" w:cs="宋体" w:hint="eastAsia"/>
        </w:rPr>
        <w:t>个。</w:t>
      </w: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第二段位于梅江左岸，松源河口下游，铜琶村至付屋岌岗，岸线长</w:t>
      </w:r>
      <w:r>
        <w:rPr>
          <w:rFonts w:ascii="宋体" w:hAnsi="宋体" w:cs="宋体"/>
        </w:rPr>
        <w:t>643.2m</w:t>
      </w:r>
      <w:r>
        <w:rPr>
          <w:rFonts w:ascii="宋体" w:hAnsi="宋体" w:cs="宋体" w:hint="eastAsia"/>
        </w:rPr>
        <w:t>，岸线后方距省道</w:t>
      </w:r>
      <w:r>
        <w:rPr>
          <w:rFonts w:ascii="宋体" w:hAnsi="宋体" w:cs="宋体"/>
        </w:rPr>
        <w:t>223</w:t>
      </w:r>
      <w:r>
        <w:rPr>
          <w:rFonts w:ascii="宋体" w:hAnsi="宋体" w:cs="宋体" w:hint="eastAsia"/>
        </w:rPr>
        <w:t>线约</w:t>
      </w:r>
      <w:r>
        <w:rPr>
          <w:rFonts w:ascii="宋体" w:hAnsi="宋体" w:cs="宋体"/>
        </w:rPr>
        <w:t>700m</w:t>
      </w:r>
      <w:r>
        <w:rPr>
          <w:rFonts w:ascii="宋体" w:hAnsi="宋体" w:cs="宋体" w:hint="eastAsia"/>
        </w:rPr>
        <w:t>，规划可布置</w:t>
      </w:r>
      <w:r>
        <w:rPr>
          <w:rFonts w:ascii="宋体" w:hAnsi="宋体" w:cs="宋体"/>
        </w:rPr>
        <w:t>300</w:t>
      </w:r>
      <w:r>
        <w:rPr>
          <w:rFonts w:ascii="宋体" w:hAnsi="宋体" w:cs="宋体" w:hint="eastAsia"/>
        </w:rPr>
        <w:t>吨级码头</w:t>
      </w:r>
      <w:r>
        <w:rPr>
          <w:rFonts w:ascii="宋体" w:hAnsi="宋体" w:cs="宋体"/>
        </w:rPr>
        <w:t>12</w:t>
      </w:r>
      <w:r>
        <w:rPr>
          <w:rFonts w:ascii="宋体" w:hAnsi="宋体" w:cs="宋体" w:hint="eastAsia"/>
        </w:rPr>
        <w:t>个。</w:t>
      </w: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客运码头岸线：</w:t>
      </w: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第三段位于梅江右岸，松口发清大桥下游约</w:t>
      </w:r>
      <w:r>
        <w:rPr>
          <w:rFonts w:ascii="宋体" w:hAnsi="宋体" w:cs="宋体"/>
        </w:rPr>
        <w:t>750m</w:t>
      </w:r>
      <w:r>
        <w:rPr>
          <w:rFonts w:ascii="宋体" w:hAnsi="宋体" w:cs="宋体" w:hint="eastAsia"/>
        </w:rPr>
        <w:t>，岸线长度</w:t>
      </w:r>
      <w:r>
        <w:rPr>
          <w:rFonts w:ascii="宋体" w:hAnsi="宋体" w:cs="宋体"/>
        </w:rPr>
        <w:t>78.2m</w:t>
      </w:r>
      <w:r>
        <w:rPr>
          <w:rFonts w:ascii="宋体" w:hAnsi="宋体" w:cs="宋体" w:hint="eastAsia"/>
        </w:rPr>
        <w:t>。</w:t>
      </w: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第四段位于梅江左岸，元魁塔附近，岸线长度</w:t>
      </w:r>
      <w:r>
        <w:rPr>
          <w:rFonts w:ascii="宋体" w:hAnsi="宋体" w:cs="宋体"/>
        </w:rPr>
        <w:t>78.2m</w:t>
      </w:r>
      <w:r>
        <w:rPr>
          <w:rFonts w:ascii="宋体" w:hAnsi="宋体" w:cs="宋体" w:hint="eastAsia"/>
        </w:rPr>
        <w:t>。</w:t>
      </w:r>
    </w:p>
    <w:p w:rsidR="005E49F7" w:rsidRDefault="005E49F7">
      <w:pPr>
        <w:pStyle w:val="Heading5"/>
        <w:spacing w:before="120"/>
        <w:rPr>
          <w:b/>
          <w:bCs/>
          <w:sz w:val="28"/>
          <w:szCs w:val="28"/>
        </w:rPr>
      </w:pPr>
      <w:r w:rsidRPr="007E49DF">
        <w:rPr>
          <w:b/>
          <w:bCs/>
          <w:noProof/>
          <w:sz w:val="28"/>
          <w:szCs w:val="28"/>
        </w:rPr>
        <w:pict>
          <v:shape id="图片 5" o:spid="_x0000_i1029" type="#_x0000_t75" style="width:425.25pt;height:242.25pt;visibility:visible">
            <v:imagedata r:id="rId15" o:title=""/>
          </v:shape>
        </w:pict>
      </w:r>
      <w:r>
        <w:rPr>
          <w:rFonts w:cs="黑体" w:hint="eastAsia"/>
        </w:rPr>
        <w:t>图</w:t>
      </w:r>
      <w:r>
        <w:t xml:space="preserve">1.2-4  </w:t>
      </w:r>
      <w:r>
        <w:rPr>
          <w:rFonts w:cs="黑体" w:hint="eastAsia"/>
        </w:rPr>
        <w:t>梅州港区松口作业区规划位置图</w:t>
      </w:r>
      <w:r>
        <w:rPr>
          <w:b/>
          <w:bCs/>
        </w:rPr>
        <w:t xml:space="preserve"> </w:t>
      </w:r>
    </w:p>
    <w:p w:rsidR="005E49F7" w:rsidRDefault="005E49F7" w:rsidP="00D23914">
      <w:pPr>
        <w:numPr>
          <w:ilvl w:val="0"/>
          <w:numId w:val="2"/>
        </w:numPr>
        <w:adjustRightInd w:val="0"/>
        <w:snapToGrid w:val="0"/>
        <w:spacing w:line="360" w:lineRule="auto"/>
        <w:ind w:firstLineChars="200" w:firstLine="31680"/>
        <w:rPr>
          <w:rFonts w:ascii="宋体"/>
        </w:rPr>
      </w:pPr>
      <w:r>
        <w:rPr>
          <w:rFonts w:ascii="宋体" w:hAnsi="宋体" w:cs="宋体" w:hint="eastAsia"/>
        </w:rPr>
        <w:t>新铺作业区</w:t>
      </w:r>
    </w:p>
    <w:p w:rsidR="005E49F7" w:rsidRDefault="005E49F7">
      <w:pPr>
        <w:adjustRightInd w:val="0"/>
        <w:snapToGrid w:val="0"/>
        <w:spacing w:line="360" w:lineRule="auto"/>
        <w:jc w:val="center"/>
        <w:rPr>
          <w:rFonts w:ascii="宋体"/>
        </w:rPr>
      </w:pPr>
      <w:r>
        <w:rPr>
          <w:rFonts w:ascii="宋体" w:hAnsi="宋体" w:cs="宋体"/>
        </w:rPr>
        <w:t xml:space="preserve">    </w:t>
      </w:r>
      <w:r>
        <w:rPr>
          <w:rFonts w:ascii="宋体" w:hAnsi="宋体" w:cs="宋体" w:hint="eastAsia"/>
        </w:rPr>
        <w:t>该岸线位于石窟河左岸和右岸，湖滨墩下游，水东角附近，岸线</w:t>
      </w:r>
      <w:r>
        <w:rPr>
          <w:rFonts w:ascii="宋体" w:hAnsi="宋体" w:cs="宋体"/>
        </w:rPr>
        <w:t>1</w:t>
      </w:r>
      <w:r>
        <w:rPr>
          <w:rFonts w:ascii="宋体" w:hAnsi="宋体" w:cs="宋体" w:hint="eastAsia"/>
        </w:rPr>
        <w:t>长</w:t>
      </w:r>
      <w:r>
        <w:rPr>
          <w:rFonts w:ascii="宋体" w:hAnsi="宋体" w:cs="宋体"/>
        </w:rPr>
        <w:t>700m</w:t>
      </w:r>
      <w:r>
        <w:rPr>
          <w:rFonts w:ascii="宋体" w:hAnsi="宋体" w:cs="宋体" w:hint="eastAsia"/>
        </w:rPr>
        <w:t>。</w:t>
      </w:r>
    </w:p>
    <w:p w:rsidR="005E49F7" w:rsidRDefault="005E49F7">
      <w:pPr>
        <w:adjustRightInd w:val="0"/>
        <w:snapToGrid w:val="0"/>
        <w:spacing w:line="360" w:lineRule="auto"/>
        <w:rPr>
          <w:rFonts w:ascii="宋体"/>
        </w:rPr>
      </w:pPr>
      <w:r>
        <w:rPr>
          <w:rFonts w:ascii="宋体" w:hAnsi="宋体" w:cs="宋体" w:hint="eastAsia"/>
        </w:rPr>
        <w:t>岸线</w:t>
      </w:r>
      <w:r>
        <w:rPr>
          <w:rFonts w:ascii="宋体" w:hAnsi="宋体" w:cs="宋体"/>
        </w:rPr>
        <w:t>2</w:t>
      </w:r>
      <w:r>
        <w:rPr>
          <w:rFonts w:ascii="宋体" w:hAnsi="宋体" w:cs="宋体" w:hint="eastAsia"/>
        </w:rPr>
        <w:t>长</w:t>
      </w:r>
      <w:r>
        <w:rPr>
          <w:rFonts w:ascii="宋体" w:hAnsi="宋体" w:cs="宋体"/>
        </w:rPr>
        <w:t>600m</w:t>
      </w:r>
      <w:r>
        <w:rPr>
          <w:rFonts w:cs="宋体" w:hint="eastAsia"/>
          <w:sz w:val="28"/>
          <w:szCs w:val="28"/>
        </w:rPr>
        <w:t>。</w:t>
      </w:r>
    </w:p>
    <w:p w:rsidR="005E49F7" w:rsidRDefault="005E49F7">
      <w:pPr>
        <w:adjustRightInd w:val="0"/>
        <w:snapToGrid w:val="0"/>
        <w:spacing w:line="360" w:lineRule="auto"/>
        <w:jc w:val="center"/>
        <w:rPr>
          <w:rFonts w:ascii="宋体"/>
        </w:rPr>
      </w:pPr>
      <w:r w:rsidRPr="007E49DF">
        <w:rPr>
          <w:rFonts w:ascii="宋体"/>
          <w:noProof/>
        </w:rPr>
        <w:pict>
          <v:shape id="图片 6" o:spid="_x0000_i1030" type="#_x0000_t75" style="width:416.25pt;height:220.5pt;visibility:visible">
            <v:imagedata r:id="rId16" o:title=""/>
          </v:shape>
        </w:pict>
      </w:r>
    </w:p>
    <w:p w:rsidR="005E49F7" w:rsidRDefault="005E49F7">
      <w:pPr>
        <w:adjustRightInd w:val="0"/>
        <w:snapToGrid w:val="0"/>
        <w:spacing w:line="360" w:lineRule="auto"/>
        <w:jc w:val="center"/>
        <w:rPr>
          <w:b/>
          <w:bCs/>
          <w:sz w:val="21"/>
          <w:szCs w:val="21"/>
        </w:rPr>
      </w:pPr>
      <w:r>
        <w:rPr>
          <w:rFonts w:cs="宋体" w:hint="eastAsia"/>
          <w:b/>
          <w:bCs/>
          <w:sz w:val="21"/>
          <w:szCs w:val="21"/>
        </w:rPr>
        <w:t>图</w:t>
      </w:r>
      <w:r>
        <w:rPr>
          <w:b/>
          <w:bCs/>
          <w:sz w:val="21"/>
          <w:szCs w:val="21"/>
        </w:rPr>
        <w:t xml:space="preserve">1.2-5  </w:t>
      </w:r>
      <w:r>
        <w:rPr>
          <w:rFonts w:cs="宋体" w:hint="eastAsia"/>
          <w:b/>
          <w:bCs/>
          <w:sz w:val="21"/>
          <w:szCs w:val="21"/>
        </w:rPr>
        <w:t>梅州港区新铺作业区货运码头规划位置图</w:t>
      </w:r>
    </w:p>
    <w:p w:rsidR="005E49F7" w:rsidRDefault="005E49F7">
      <w:pPr>
        <w:adjustRightInd w:val="0"/>
        <w:snapToGrid w:val="0"/>
        <w:spacing w:line="360" w:lineRule="auto"/>
        <w:rPr>
          <w:rFonts w:ascii="宋体"/>
        </w:rPr>
      </w:pPr>
      <w:r>
        <w:rPr>
          <w:rFonts w:ascii="宋体" w:hAnsi="宋体" w:cs="宋体"/>
        </w:rPr>
        <w:t>5</w:t>
      </w:r>
      <w:r>
        <w:rPr>
          <w:rFonts w:ascii="宋体" w:hAnsi="宋体" w:cs="宋体" w:hint="eastAsia"/>
        </w:rPr>
        <w:t>、畲江作业区</w:t>
      </w: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该岸线分为两段。第一段岸线位于梅江右岸，</w:t>
      </w:r>
      <w:r>
        <w:rPr>
          <w:rFonts w:ascii="宋体" w:hAnsi="宋体" w:cs="宋体"/>
        </w:rPr>
        <w:t>G78</w:t>
      </w:r>
      <w:r>
        <w:rPr>
          <w:rFonts w:ascii="宋体" w:hAnsi="宋体" w:cs="宋体" w:hint="eastAsia"/>
        </w:rPr>
        <w:t>汕昆高速大桥下游约</w:t>
      </w:r>
      <w:r>
        <w:rPr>
          <w:rFonts w:ascii="宋体" w:hAnsi="宋体" w:cs="宋体"/>
        </w:rPr>
        <w:t>400m</w:t>
      </w:r>
      <w:r>
        <w:rPr>
          <w:rFonts w:ascii="宋体" w:hAnsi="宋体" w:cs="宋体" w:hint="eastAsia"/>
        </w:rPr>
        <w:t>，布头村附近，岸线长</w:t>
      </w:r>
      <w:r>
        <w:rPr>
          <w:rFonts w:ascii="宋体" w:hAnsi="宋体" w:cs="宋体"/>
        </w:rPr>
        <w:t>300m</w:t>
      </w:r>
      <w:r>
        <w:rPr>
          <w:rFonts w:ascii="宋体" w:hAnsi="宋体" w:cs="宋体" w:hint="eastAsia"/>
        </w:rPr>
        <w:t>。</w:t>
      </w: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第二段岸线位于梅江左岸，距下游广梅汕铁路大桥约</w:t>
      </w:r>
      <w:r>
        <w:rPr>
          <w:rFonts w:ascii="宋体" w:hAnsi="宋体" w:cs="宋体"/>
        </w:rPr>
        <w:t>400m</w:t>
      </w:r>
      <w:r>
        <w:rPr>
          <w:rFonts w:ascii="宋体" w:hAnsi="宋体" w:cs="宋体" w:hint="eastAsia"/>
        </w:rPr>
        <w:t>，榆通工艺制品附近，岸线长</w:t>
      </w:r>
      <w:r>
        <w:rPr>
          <w:rFonts w:ascii="宋体" w:hAnsi="宋体" w:cs="宋体"/>
        </w:rPr>
        <w:t>300m</w:t>
      </w:r>
      <w:r>
        <w:rPr>
          <w:rFonts w:ascii="宋体" w:hAnsi="宋体" w:cs="宋体" w:hint="eastAsia"/>
        </w:rPr>
        <w:t>。</w:t>
      </w:r>
    </w:p>
    <w:p w:rsidR="005E49F7" w:rsidRDefault="005E49F7">
      <w:pPr>
        <w:pStyle w:val="Heading5"/>
        <w:spacing w:before="120"/>
        <w:rPr>
          <w:b/>
          <w:bCs/>
        </w:rPr>
      </w:pPr>
      <w:r w:rsidRPr="00BA671C">
        <w:rPr>
          <w:noProof/>
        </w:rPr>
        <w:pict>
          <v:shape id="图片 7" o:spid="_x0000_i1031" type="#_x0000_t75" style="width:424.5pt;height:232.5pt;visibility:visible">
            <v:imagedata r:id="rId17" o:title=""/>
          </v:shape>
        </w:pict>
      </w:r>
      <w:r>
        <w:rPr>
          <w:rFonts w:cs="黑体" w:hint="eastAsia"/>
        </w:rPr>
        <w:t>图</w:t>
      </w:r>
      <w:r>
        <w:t xml:space="preserve">1.2-6  </w:t>
      </w:r>
      <w:r>
        <w:rPr>
          <w:rFonts w:cs="黑体" w:hint="eastAsia"/>
        </w:rPr>
        <w:t>梅州港区畲江作业区货运码头规划位置图</w:t>
      </w:r>
    </w:p>
    <w:p w:rsidR="005E49F7" w:rsidRDefault="005E49F7" w:rsidP="00D23914">
      <w:pPr>
        <w:adjustRightInd w:val="0"/>
        <w:snapToGrid w:val="0"/>
        <w:spacing w:line="360" w:lineRule="auto"/>
        <w:ind w:firstLineChars="200" w:firstLine="31680"/>
        <w:rPr>
          <w:rFonts w:ascii="宋体"/>
        </w:rPr>
      </w:pPr>
      <w:r>
        <w:rPr>
          <w:rFonts w:ascii="宋体" w:hAnsi="宋体" w:cs="宋体"/>
        </w:rPr>
        <w:t>6.</w:t>
      </w:r>
      <w:r>
        <w:rPr>
          <w:rFonts w:ascii="宋体" w:hAnsi="宋体" w:cs="宋体" w:hint="eastAsia"/>
        </w:rPr>
        <w:t>茶阳作业区</w:t>
      </w:r>
    </w:p>
    <w:p w:rsidR="005E49F7" w:rsidRDefault="005E49F7">
      <w:pPr>
        <w:adjustRightInd w:val="0"/>
        <w:snapToGrid w:val="0"/>
        <w:spacing w:line="360" w:lineRule="auto"/>
        <w:rPr>
          <w:b/>
          <w:bCs/>
          <w:sz w:val="28"/>
          <w:szCs w:val="28"/>
        </w:rPr>
      </w:pPr>
      <w:r w:rsidRPr="007E49DF">
        <w:rPr>
          <w:b/>
          <w:bCs/>
          <w:noProof/>
          <w:sz w:val="28"/>
          <w:szCs w:val="28"/>
        </w:rPr>
        <w:pict>
          <v:shape id="图片 8" o:spid="_x0000_i1032" type="#_x0000_t75" style="width:419.25pt;height:225.75pt;visibility:visible">
            <v:imagedata r:id="rId18" o:title=""/>
          </v:shape>
        </w:pict>
      </w:r>
    </w:p>
    <w:p w:rsidR="005E49F7" w:rsidRDefault="005E49F7">
      <w:pPr>
        <w:adjustRightInd w:val="0"/>
        <w:snapToGrid w:val="0"/>
        <w:spacing w:line="360" w:lineRule="auto"/>
        <w:jc w:val="center"/>
        <w:rPr>
          <w:b/>
          <w:bCs/>
        </w:rPr>
      </w:pPr>
      <w:r>
        <w:rPr>
          <w:rFonts w:cs="宋体" w:hint="eastAsia"/>
          <w:b/>
          <w:bCs/>
        </w:rPr>
        <w:t>图</w:t>
      </w:r>
      <w:r>
        <w:rPr>
          <w:b/>
          <w:bCs/>
        </w:rPr>
        <w:t xml:space="preserve">1.2-7 </w:t>
      </w:r>
      <w:r>
        <w:rPr>
          <w:rFonts w:cs="宋体" w:hint="eastAsia"/>
          <w:b/>
          <w:bCs/>
        </w:rPr>
        <w:t>大埔港区茶阳作业区货运码头规划位置图</w:t>
      </w:r>
    </w:p>
    <w:p w:rsidR="005E49F7" w:rsidRDefault="005E49F7" w:rsidP="00D23914">
      <w:pPr>
        <w:pStyle w:val="BodyText"/>
        <w:adjustRightInd w:val="0"/>
        <w:snapToGrid w:val="0"/>
        <w:ind w:firstLineChars="200" w:firstLine="31680"/>
        <w:rPr>
          <w:rFonts w:ascii="宋体"/>
        </w:rPr>
      </w:pPr>
      <w:r>
        <w:rPr>
          <w:rFonts w:ascii="宋体" w:hAnsi="宋体" w:cs="宋体" w:hint="eastAsia"/>
        </w:rPr>
        <w:t>该岸线位于汀江左岸，县道</w:t>
      </w:r>
      <w:r>
        <w:rPr>
          <w:rFonts w:ascii="宋体" w:hAnsi="宋体" w:cs="宋体"/>
        </w:rPr>
        <w:t>961</w:t>
      </w:r>
      <w:r>
        <w:rPr>
          <w:rFonts w:ascii="宋体" w:hAnsi="宋体" w:cs="宋体" w:hint="eastAsia"/>
        </w:rPr>
        <w:t>线汀江桥下游的张天堂对岸，岸线长</w:t>
      </w:r>
      <w:r>
        <w:rPr>
          <w:rFonts w:ascii="宋体" w:hAnsi="宋体" w:cs="宋体"/>
        </w:rPr>
        <w:t>478m</w:t>
      </w:r>
      <w:r>
        <w:rPr>
          <w:rFonts w:ascii="宋体" w:hAnsi="宋体" w:cs="宋体" w:hint="eastAsia"/>
        </w:rPr>
        <w:t>，规划该作业区可布置</w:t>
      </w:r>
      <w:r>
        <w:rPr>
          <w:rFonts w:ascii="宋体" w:hAnsi="宋体" w:cs="宋体"/>
        </w:rPr>
        <w:t>1000</w:t>
      </w:r>
      <w:r>
        <w:rPr>
          <w:rFonts w:ascii="宋体" w:hAnsi="宋体" w:cs="宋体" w:hint="eastAsia"/>
        </w:rPr>
        <w:t>吨级泊位</w:t>
      </w:r>
      <w:r>
        <w:rPr>
          <w:rFonts w:ascii="宋体" w:hAnsi="宋体" w:cs="宋体"/>
        </w:rPr>
        <w:t>7</w:t>
      </w:r>
      <w:r>
        <w:rPr>
          <w:rFonts w:ascii="宋体" w:hAnsi="宋体" w:cs="宋体" w:hint="eastAsia"/>
        </w:rPr>
        <w:t>个，规划期内拟建泊位</w:t>
      </w:r>
      <w:r>
        <w:rPr>
          <w:rFonts w:ascii="宋体" w:hAnsi="宋体" w:cs="宋体"/>
        </w:rPr>
        <w:t>4</w:t>
      </w:r>
      <w:r>
        <w:rPr>
          <w:rFonts w:ascii="宋体" w:hAnsi="宋体" w:cs="宋体" w:hint="eastAsia"/>
        </w:rPr>
        <w:t>个。</w:t>
      </w:r>
    </w:p>
    <w:p w:rsidR="005E49F7" w:rsidRDefault="005E49F7" w:rsidP="00D23914">
      <w:pPr>
        <w:adjustRightInd w:val="0"/>
        <w:snapToGrid w:val="0"/>
        <w:spacing w:line="360" w:lineRule="auto"/>
        <w:ind w:firstLineChars="200" w:firstLine="31680"/>
        <w:rPr>
          <w:rFonts w:ascii="宋体"/>
        </w:rPr>
      </w:pPr>
      <w:r>
        <w:rPr>
          <w:rFonts w:ascii="宋体" w:hAnsi="宋体" w:cs="宋体"/>
        </w:rPr>
        <w:t>7.</w:t>
      </w:r>
      <w:r>
        <w:rPr>
          <w:rFonts w:ascii="宋体" w:hAnsi="宋体" w:cs="宋体" w:hint="eastAsia"/>
        </w:rPr>
        <w:t>三河作业区</w:t>
      </w:r>
    </w:p>
    <w:p w:rsidR="005E49F7" w:rsidRDefault="005E49F7">
      <w:pPr>
        <w:adjustRightInd w:val="0"/>
        <w:snapToGrid w:val="0"/>
        <w:spacing w:line="360" w:lineRule="auto"/>
        <w:jc w:val="center"/>
      </w:pPr>
      <w:r w:rsidRPr="007E49DF">
        <w:rPr>
          <w:b/>
          <w:bCs/>
          <w:noProof/>
          <w:sz w:val="28"/>
          <w:szCs w:val="28"/>
        </w:rPr>
        <w:pict>
          <v:shape id="图片 9" o:spid="_x0000_i1033" type="#_x0000_t75" style="width:425.25pt;height:240.75pt;visibility:visible">
            <v:imagedata r:id="rId19" o:title=""/>
          </v:shape>
        </w:pict>
      </w:r>
      <w:r>
        <w:rPr>
          <w:rFonts w:cs="宋体" w:hint="eastAsia"/>
          <w:b/>
          <w:bCs/>
          <w:sz w:val="21"/>
          <w:szCs w:val="21"/>
        </w:rPr>
        <w:t>图</w:t>
      </w:r>
      <w:r>
        <w:rPr>
          <w:b/>
          <w:bCs/>
          <w:sz w:val="21"/>
          <w:szCs w:val="21"/>
        </w:rPr>
        <w:t xml:space="preserve">1.2-8 </w:t>
      </w:r>
      <w:r>
        <w:rPr>
          <w:rFonts w:cs="宋体" w:hint="eastAsia"/>
          <w:b/>
          <w:bCs/>
          <w:sz w:val="21"/>
          <w:szCs w:val="21"/>
        </w:rPr>
        <w:t>大埔港区三河作业区规划位置图</w:t>
      </w:r>
    </w:p>
    <w:p w:rsidR="005E49F7" w:rsidRDefault="005E49F7" w:rsidP="00D23914">
      <w:pPr>
        <w:adjustRightInd w:val="0"/>
        <w:snapToGrid w:val="0"/>
        <w:spacing w:line="360" w:lineRule="auto"/>
        <w:ind w:firstLineChars="200" w:firstLine="31680"/>
        <w:rPr>
          <w:rFonts w:ascii="宋体"/>
        </w:rPr>
      </w:pP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该作业区货运码头岸线分为两段：</w:t>
      </w: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第一段该岸线位于梅江与汀江交汇处，梅江左岸，汀江右岸，梅江桥至汀江朱德大桥，韩江航道起点，规划航道等级标准为</w:t>
      </w:r>
      <w:r>
        <w:rPr>
          <w:rFonts w:ascii="宋体" w:hAnsi="宋体" w:cs="宋体"/>
        </w:rPr>
        <w:t>1000</w:t>
      </w:r>
      <w:r>
        <w:rPr>
          <w:rFonts w:ascii="宋体" w:hAnsi="宋体" w:cs="宋体" w:hint="eastAsia"/>
        </w:rPr>
        <w:t>吨，岸线长</w:t>
      </w:r>
      <w:r>
        <w:rPr>
          <w:rFonts w:ascii="宋体" w:hAnsi="宋体" w:cs="宋体"/>
        </w:rPr>
        <w:t>698m</w:t>
      </w:r>
      <w:r>
        <w:rPr>
          <w:rFonts w:ascii="宋体" w:hAnsi="宋体" w:cs="宋体" w:hint="eastAsia"/>
        </w:rPr>
        <w:t>，岸后方陆域平坦，岸线未利用，大埔火车站距规划岸线最远约</w:t>
      </w:r>
      <w:r>
        <w:rPr>
          <w:rFonts w:ascii="宋体" w:hAnsi="宋体" w:cs="宋体"/>
        </w:rPr>
        <w:t>800m</w:t>
      </w:r>
      <w:r>
        <w:rPr>
          <w:rFonts w:ascii="宋体" w:hAnsi="宋体" w:cs="宋体" w:hint="eastAsia"/>
        </w:rPr>
        <w:t>，适合发展铁水联运；同时，大埔至梅州高速公路正在积极兴建之中。规划可布置</w:t>
      </w:r>
      <w:r>
        <w:rPr>
          <w:rFonts w:ascii="宋体" w:hAnsi="宋体" w:cs="宋体"/>
        </w:rPr>
        <w:t>1000</w:t>
      </w:r>
      <w:r>
        <w:rPr>
          <w:rFonts w:ascii="宋体" w:hAnsi="宋体" w:cs="宋体" w:hint="eastAsia"/>
        </w:rPr>
        <w:t>吨级泊位</w:t>
      </w:r>
      <w:r>
        <w:rPr>
          <w:rFonts w:ascii="宋体" w:hAnsi="宋体" w:cs="宋体"/>
        </w:rPr>
        <w:t>10</w:t>
      </w:r>
      <w:r>
        <w:rPr>
          <w:rFonts w:ascii="宋体" w:hAnsi="宋体" w:cs="宋体" w:hint="eastAsia"/>
        </w:rPr>
        <w:t>个，规划期拟建泊位</w:t>
      </w:r>
      <w:r>
        <w:rPr>
          <w:rFonts w:ascii="宋体" w:hAnsi="宋体" w:cs="宋体"/>
        </w:rPr>
        <w:t>5</w:t>
      </w:r>
      <w:r>
        <w:rPr>
          <w:rFonts w:ascii="宋体" w:hAnsi="宋体" w:cs="宋体" w:hint="eastAsia"/>
        </w:rPr>
        <w:t>个。</w:t>
      </w: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第二段岸线位于汀江左岸，朱德大桥上游，大埔火电厂附近，岸线长约</w:t>
      </w:r>
      <w:r>
        <w:rPr>
          <w:rFonts w:ascii="宋体" w:hAnsi="宋体" w:cs="宋体"/>
        </w:rPr>
        <w:t>689m</w:t>
      </w:r>
      <w:r>
        <w:rPr>
          <w:rFonts w:ascii="宋体" w:hAnsi="宋体" w:cs="宋体" w:hint="eastAsia"/>
        </w:rPr>
        <w:t>，规划可布置</w:t>
      </w:r>
      <w:r>
        <w:rPr>
          <w:rFonts w:ascii="宋体" w:hAnsi="宋体" w:cs="宋体"/>
        </w:rPr>
        <w:t>1000</w:t>
      </w:r>
      <w:r>
        <w:rPr>
          <w:rFonts w:ascii="宋体" w:hAnsi="宋体" w:cs="宋体" w:hint="eastAsia"/>
        </w:rPr>
        <w:t>吨级泊位</w:t>
      </w:r>
      <w:r>
        <w:rPr>
          <w:rFonts w:ascii="宋体" w:hAnsi="宋体" w:cs="宋体"/>
        </w:rPr>
        <w:t>10</w:t>
      </w:r>
      <w:r>
        <w:rPr>
          <w:rFonts w:ascii="宋体" w:hAnsi="宋体" w:cs="宋体" w:hint="eastAsia"/>
        </w:rPr>
        <w:t>个。</w:t>
      </w: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该作业区客运码头岸线分为两段：</w:t>
      </w: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第一段岸线位于梅江及韩江的右岸，新梅江大桥下游，岸线长度</w:t>
      </w:r>
      <w:r>
        <w:rPr>
          <w:rFonts w:ascii="宋体" w:hAnsi="宋体" w:cs="宋体"/>
        </w:rPr>
        <w:t>78.2m</w:t>
      </w:r>
      <w:r>
        <w:rPr>
          <w:rFonts w:ascii="宋体" w:hAnsi="宋体" w:cs="宋体" w:hint="eastAsia"/>
        </w:rPr>
        <w:t>。</w:t>
      </w:r>
    </w:p>
    <w:p w:rsidR="005E49F7" w:rsidRDefault="005E49F7" w:rsidP="00D23914">
      <w:pPr>
        <w:adjustRightInd w:val="0"/>
        <w:snapToGrid w:val="0"/>
        <w:spacing w:line="360" w:lineRule="auto"/>
        <w:ind w:firstLineChars="200" w:firstLine="31680"/>
        <w:rPr>
          <w:rFonts w:ascii="宋体"/>
        </w:rPr>
      </w:pPr>
      <w:r>
        <w:rPr>
          <w:rFonts w:ascii="宋体" w:hAnsi="宋体" w:cs="宋体" w:hint="eastAsia"/>
        </w:rPr>
        <w:t>第二段岸线位于韩江左岸，朱德纪念大桥下游，三河渡口码头至三河坝战役纪念馆，岸线长度</w:t>
      </w:r>
      <w:r>
        <w:rPr>
          <w:rFonts w:ascii="宋体" w:hAnsi="宋体" w:cs="宋体"/>
        </w:rPr>
        <w:t>78.2m</w:t>
      </w:r>
      <w:r>
        <w:rPr>
          <w:rFonts w:ascii="宋体" w:hAnsi="宋体" w:cs="宋体" w:hint="eastAsia"/>
        </w:rPr>
        <w:t>。</w:t>
      </w:r>
    </w:p>
    <w:p w:rsidR="005E49F7" w:rsidRDefault="005E49F7" w:rsidP="00D23914">
      <w:pPr>
        <w:numPr>
          <w:ilvl w:val="0"/>
          <w:numId w:val="3"/>
        </w:numPr>
        <w:adjustRightInd w:val="0"/>
        <w:snapToGrid w:val="0"/>
        <w:spacing w:line="360" w:lineRule="auto"/>
        <w:ind w:firstLineChars="200" w:firstLine="31680"/>
        <w:rPr>
          <w:rFonts w:ascii="宋体"/>
        </w:rPr>
      </w:pPr>
      <w:r>
        <w:rPr>
          <w:rFonts w:ascii="宋体" w:hAnsi="宋体" w:cs="宋体" w:hint="eastAsia"/>
        </w:rPr>
        <w:t>高陂作业区</w:t>
      </w:r>
    </w:p>
    <w:p w:rsidR="005E49F7" w:rsidRDefault="005E49F7" w:rsidP="00D23914">
      <w:pPr>
        <w:pStyle w:val="BodyText"/>
        <w:adjustRightInd w:val="0"/>
        <w:snapToGrid w:val="0"/>
        <w:ind w:firstLineChars="200" w:firstLine="31680"/>
        <w:rPr>
          <w:rFonts w:ascii="宋体"/>
        </w:rPr>
      </w:pPr>
      <w:r>
        <w:rPr>
          <w:rFonts w:ascii="宋体" w:hAnsi="宋体" w:cs="宋体" w:hint="eastAsia"/>
        </w:rPr>
        <w:t>该作业区货运码头岸线分为两段，第一段位于韩江左岸，田家炳大桥上游</w:t>
      </w:r>
      <w:r>
        <w:rPr>
          <w:rFonts w:ascii="宋体" w:hAnsi="宋体" w:cs="宋体"/>
        </w:rPr>
        <w:t>200m</w:t>
      </w:r>
      <w:r>
        <w:rPr>
          <w:rFonts w:ascii="宋体" w:hAnsi="宋体" w:cs="宋体" w:hint="eastAsia"/>
        </w:rPr>
        <w:t>，岸线长度</w:t>
      </w:r>
      <w:r>
        <w:rPr>
          <w:rFonts w:ascii="宋体" w:hAnsi="宋体" w:cs="宋体"/>
        </w:rPr>
        <w:t>400m</w:t>
      </w:r>
      <w:r>
        <w:rPr>
          <w:rFonts w:ascii="宋体" w:hAnsi="宋体" w:cs="宋体" w:hint="eastAsia"/>
        </w:rPr>
        <w:t>。</w:t>
      </w:r>
    </w:p>
    <w:p w:rsidR="005E49F7" w:rsidRDefault="005E49F7" w:rsidP="00D23914">
      <w:pPr>
        <w:pStyle w:val="BodyText"/>
        <w:adjustRightInd w:val="0"/>
        <w:snapToGrid w:val="0"/>
        <w:ind w:firstLineChars="200" w:firstLine="31680"/>
        <w:rPr>
          <w:rFonts w:ascii="宋体"/>
        </w:rPr>
      </w:pPr>
      <w:r>
        <w:rPr>
          <w:rFonts w:ascii="宋体" w:hAnsi="宋体" w:cs="宋体" w:hint="eastAsia"/>
        </w:rPr>
        <w:t>第二段位于韩江左岸，田家炳大桥上游，高陂客运站附近，岸线长度</w:t>
      </w:r>
      <w:r>
        <w:rPr>
          <w:rFonts w:ascii="宋体" w:hAnsi="宋体" w:cs="宋体"/>
        </w:rPr>
        <w:t>300m</w:t>
      </w:r>
      <w:r>
        <w:rPr>
          <w:rFonts w:ascii="宋体" w:hAnsi="宋体" w:cs="宋体" w:hint="eastAsia"/>
        </w:rPr>
        <w:t>。</w:t>
      </w:r>
    </w:p>
    <w:p w:rsidR="005E49F7" w:rsidRDefault="005E49F7">
      <w:pPr>
        <w:adjustRightInd w:val="0"/>
        <w:snapToGrid w:val="0"/>
        <w:spacing w:line="360" w:lineRule="auto"/>
        <w:rPr>
          <w:sz w:val="28"/>
          <w:szCs w:val="28"/>
        </w:rPr>
      </w:pPr>
      <w:r w:rsidRPr="007E49DF">
        <w:rPr>
          <w:noProof/>
          <w:sz w:val="28"/>
          <w:szCs w:val="28"/>
        </w:rPr>
        <w:pict>
          <v:shape id="图片 10" o:spid="_x0000_i1034" type="#_x0000_t75" style="width:424.5pt;height:234pt;visibility:visible">
            <v:imagedata r:id="rId20" o:title=""/>
          </v:shape>
        </w:pict>
      </w:r>
    </w:p>
    <w:p w:rsidR="005E49F7" w:rsidRDefault="005E49F7">
      <w:pPr>
        <w:pStyle w:val="Heading5"/>
        <w:spacing w:before="120"/>
      </w:pPr>
      <w:r>
        <w:rPr>
          <w:rFonts w:cs="黑体" w:hint="eastAsia"/>
        </w:rPr>
        <w:t>图</w:t>
      </w:r>
      <w:r>
        <w:t>1.2-9</w:t>
      </w:r>
      <w:r>
        <w:rPr>
          <w:rFonts w:cs="黑体" w:hint="eastAsia"/>
        </w:rPr>
        <w:t>大埔港区三河作业区货运码头规划位置图</w:t>
      </w:r>
    </w:p>
    <w:p w:rsidR="005E49F7" w:rsidRDefault="005E49F7" w:rsidP="00D23914">
      <w:pPr>
        <w:pStyle w:val="ad"/>
        <w:spacing w:beforeLines="0" w:afterLines="0"/>
        <w:ind w:firstLine="31680"/>
      </w:pPr>
      <w:r>
        <w:rPr>
          <w:rFonts w:cs="黑体" w:hint="eastAsia"/>
        </w:rPr>
        <w:t>（</w:t>
      </w:r>
      <w:r>
        <w:t>3</w:t>
      </w:r>
      <w:r>
        <w:rPr>
          <w:rFonts w:cs="黑体" w:hint="eastAsia"/>
        </w:rPr>
        <w:t>）水域布置规划</w:t>
      </w:r>
    </w:p>
    <w:p w:rsidR="005E49F7" w:rsidRDefault="005E49F7" w:rsidP="00D23914">
      <w:pPr>
        <w:pStyle w:val="11"/>
        <w:ind w:firstLine="31680"/>
      </w:pPr>
      <w:r>
        <w:rPr>
          <w:rFonts w:cs="宋体" w:hint="eastAsia"/>
        </w:rPr>
        <w:t>一、航道规划</w:t>
      </w:r>
    </w:p>
    <w:p w:rsidR="005E49F7" w:rsidRDefault="005E49F7" w:rsidP="00D23914">
      <w:pPr>
        <w:pStyle w:val="BodyText"/>
        <w:adjustRightInd w:val="0"/>
        <w:snapToGrid w:val="0"/>
        <w:spacing w:line="360" w:lineRule="auto"/>
        <w:ind w:firstLineChars="200" w:firstLine="31680"/>
        <w:rPr>
          <w:kern w:val="2"/>
        </w:rPr>
      </w:pPr>
      <w:r>
        <w:rPr>
          <w:kern w:val="2"/>
        </w:rPr>
        <w:t>1</w:t>
      </w:r>
      <w:r>
        <w:rPr>
          <w:rFonts w:cs="宋体" w:hint="eastAsia"/>
          <w:kern w:val="2"/>
        </w:rPr>
        <w:t>．梅江</w:t>
      </w:r>
    </w:p>
    <w:p w:rsidR="005E49F7" w:rsidRDefault="005E49F7" w:rsidP="00D23914">
      <w:pPr>
        <w:pStyle w:val="BodyText"/>
        <w:adjustRightInd w:val="0"/>
        <w:snapToGrid w:val="0"/>
        <w:spacing w:line="360" w:lineRule="auto"/>
        <w:ind w:firstLineChars="200" w:firstLine="31680"/>
        <w:rPr>
          <w:kern w:val="2"/>
        </w:rPr>
      </w:pPr>
      <w:r>
        <w:rPr>
          <w:rFonts w:cs="宋体" w:hint="eastAsia"/>
          <w:kern w:val="2"/>
        </w:rPr>
        <w:t>根据有关规划，梅江在梅州辖区内的航道整治分为两段，上游段为五华水寨至单竹窝坝下，航道里程</w:t>
      </w:r>
      <w:r>
        <w:rPr>
          <w:kern w:val="2"/>
        </w:rPr>
        <w:t>120km</w:t>
      </w:r>
      <w:r>
        <w:rPr>
          <w:rFonts w:cs="宋体" w:hint="eastAsia"/>
          <w:kern w:val="2"/>
        </w:rPr>
        <w:t>，现状等级为</w:t>
      </w:r>
      <w:r>
        <w:rPr>
          <w:kern w:val="2"/>
        </w:rPr>
        <w:t>7</w:t>
      </w:r>
      <w:r>
        <w:rPr>
          <w:rFonts w:cs="宋体" w:hint="eastAsia"/>
          <w:kern w:val="2"/>
        </w:rPr>
        <w:t>级航道，技术等级为</w:t>
      </w:r>
      <w:r>
        <w:rPr>
          <w:kern w:val="2"/>
        </w:rPr>
        <w:t>5—7</w:t>
      </w:r>
      <w:r>
        <w:rPr>
          <w:rFonts w:cs="宋体" w:hint="eastAsia"/>
          <w:kern w:val="2"/>
        </w:rPr>
        <w:t>级，其中梅城至五华河段受水电站无船闸限制，规划等级为</w:t>
      </w:r>
      <w:r>
        <w:rPr>
          <w:kern w:val="2"/>
        </w:rPr>
        <w:t>5</w:t>
      </w:r>
      <w:r>
        <w:rPr>
          <w:rFonts w:cs="宋体" w:hint="eastAsia"/>
          <w:kern w:val="2"/>
        </w:rPr>
        <w:t>级，航道尺度为</w:t>
      </w:r>
      <w:r>
        <w:rPr>
          <w:kern w:val="2"/>
        </w:rPr>
        <w:t xml:space="preserve"> 1.6</w:t>
      </w:r>
      <w:r>
        <w:rPr>
          <w:rFonts w:cs="宋体" w:hint="eastAsia"/>
          <w:kern w:val="2"/>
        </w:rPr>
        <w:t>×</w:t>
      </w:r>
      <w:r>
        <w:rPr>
          <w:kern w:val="2"/>
        </w:rPr>
        <w:t>40</w:t>
      </w:r>
      <w:r>
        <w:rPr>
          <w:rFonts w:cs="宋体" w:hint="eastAsia"/>
          <w:kern w:val="2"/>
        </w:rPr>
        <w:t>×</w:t>
      </w:r>
      <w:r>
        <w:rPr>
          <w:kern w:val="2"/>
        </w:rPr>
        <w:t>240m</w:t>
      </w:r>
      <w:r>
        <w:rPr>
          <w:rFonts w:cs="宋体" w:hint="eastAsia"/>
          <w:kern w:val="2"/>
        </w:rPr>
        <w:t>。下游段为单竹窝枢纽至三河坝，现状等级为</w:t>
      </w:r>
      <w:r>
        <w:rPr>
          <w:kern w:val="2"/>
        </w:rPr>
        <w:t>7</w:t>
      </w:r>
      <w:r>
        <w:rPr>
          <w:rFonts w:cs="宋体" w:hint="eastAsia"/>
          <w:kern w:val="2"/>
        </w:rPr>
        <w:t>级航道，技术等级为</w:t>
      </w:r>
      <w:r>
        <w:rPr>
          <w:kern w:val="2"/>
        </w:rPr>
        <w:t>5</w:t>
      </w:r>
      <w:r>
        <w:rPr>
          <w:rFonts w:cs="宋体" w:hint="eastAsia"/>
          <w:kern w:val="2"/>
        </w:rPr>
        <w:t>级，规划航道等级标准为</w:t>
      </w:r>
      <w:r>
        <w:rPr>
          <w:kern w:val="2"/>
        </w:rPr>
        <w:t>4</w:t>
      </w:r>
      <w:r>
        <w:rPr>
          <w:rFonts w:cs="宋体" w:hint="eastAsia"/>
          <w:kern w:val="2"/>
        </w:rPr>
        <w:t>级，航道尺度为</w:t>
      </w:r>
      <w:r>
        <w:rPr>
          <w:kern w:val="2"/>
        </w:rPr>
        <w:t xml:space="preserve"> 1.9</w:t>
      </w:r>
      <w:r>
        <w:rPr>
          <w:rFonts w:cs="宋体" w:hint="eastAsia"/>
          <w:kern w:val="2"/>
        </w:rPr>
        <w:t>×</w:t>
      </w:r>
      <w:r>
        <w:rPr>
          <w:kern w:val="2"/>
        </w:rPr>
        <w:t>50</w:t>
      </w:r>
      <w:r>
        <w:rPr>
          <w:rFonts w:cs="宋体" w:hint="eastAsia"/>
          <w:kern w:val="2"/>
        </w:rPr>
        <w:t>×</w:t>
      </w:r>
      <w:r>
        <w:rPr>
          <w:kern w:val="2"/>
        </w:rPr>
        <w:t>330m</w:t>
      </w:r>
      <w:r>
        <w:rPr>
          <w:rFonts w:cs="宋体" w:hint="eastAsia"/>
          <w:kern w:val="2"/>
        </w:rPr>
        <w:t>。</w:t>
      </w:r>
    </w:p>
    <w:p w:rsidR="005E49F7" w:rsidRDefault="005E49F7" w:rsidP="00D23914">
      <w:pPr>
        <w:pStyle w:val="BodyText"/>
        <w:numPr>
          <w:ilvl w:val="0"/>
          <w:numId w:val="4"/>
        </w:numPr>
        <w:adjustRightInd w:val="0"/>
        <w:snapToGrid w:val="0"/>
        <w:spacing w:after="0" w:line="360" w:lineRule="auto"/>
        <w:ind w:firstLineChars="200" w:firstLine="31680"/>
        <w:rPr>
          <w:kern w:val="2"/>
        </w:rPr>
      </w:pPr>
      <w:r>
        <w:rPr>
          <w:rFonts w:cs="宋体" w:hint="eastAsia"/>
          <w:kern w:val="2"/>
        </w:rPr>
        <w:t>石窟河</w:t>
      </w:r>
    </w:p>
    <w:p w:rsidR="005E49F7" w:rsidRDefault="005E49F7" w:rsidP="00D23914">
      <w:pPr>
        <w:pStyle w:val="BodyText"/>
        <w:adjustRightInd w:val="0"/>
        <w:snapToGrid w:val="0"/>
        <w:spacing w:line="360" w:lineRule="auto"/>
        <w:ind w:firstLineChars="200" w:firstLine="31680"/>
        <w:rPr>
          <w:kern w:val="2"/>
        </w:rPr>
      </w:pPr>
      <w:r>
        <w:rPr>
          <w:rFonts w:cs="宋体" w:hint="eastAsia"/>
          <w:kern w:val="2"/>
        </w:rPr>
        <w:t>石窟河航道整治河段为石窟河口至新铺镇，航道里程</w:t>
      </w:r>
      <w:r>
        <w:rPr>
          <w:kern w:val="2"/>
        </w:rPr>
        <w:t>34km</w:t>
      </w:r>
      <w:r>
        <w:rPr>
          <w:rFonts w:cs="宋体" w:hint="eastAsia"/>
          <w:kern w:val="2"/>
        </w:rPr>
        <w:t>，现状等级为</w:t>
      </w:r>
      <w:r>
        <w:rPr>
          <w:kern w:val="2"/>
        </w:rPr>
        <w:t>7</w:t>
      </w:r>
      <w:r>
        <w:rPr>
          <w:rFonts w:cs="宋体" w:hint="eastAsia"/>
          <w:kern w:val="2"/>
        </w:rPr>
        <w:t>级航道，技术等级为</w:t>
      </w:r>
      <w:r>
        <w:rPr>
          <w:kern w:val="2"/>
        </w:rPr>
        <w:t>7</w:t>
      </w:r>
      <w:r>
        <w:rPr>
          <w:rFonts w:cs="宋体" w:hint="eastAsia"/>
          <w:kern w:val="2"/>
        </w:rPr>
        <w:t>级，但是石窟河口水电站未设船闸，规划航道等级标准为</w:t>
      </w:r>
      <w:r>
        <w:rPr>
          <w:kern w:val="2"/>
        </w:rPr>
        <w:t>5</w:t>
      </w:r>
      <w:r>
        <w:rPr>
          <w:rFonts w:cs="宋体" w:hint="eastAsia"/>
          <w:kern w:val="2"/>
        </w:rPr>
        <w:t>级，航道尺度为</w:t>
      </w:r>
      <w:r>
        <w:rPr>
          <w:kern w:val="2"/>
        </w:rPr>
        <w:t xml:space="preserve"> 1.6</w:t>
      </w:r>
      <w:r>
        <w:rPr>
          <w:rFonts w:cs="宋体" w:hint="eastAsia"/>
          <w:kern w:val="2"/>
        </w:rPr>
        <w:t>×</w:t>
      </w:r>
      <w:r>
        <w:rPr>
          <w:kern w:val="2"/>
        </w:rPr>
        <w:t>50</w:t>
      </w:r>
      <w:r>
        <w:rPr>
          <w:rFonts w:cs="宋体" w:hint="eastAsia"/>
          <w:kern w:val="2"/>
        </w:rPr>
        <w:t>×</w:t>
      </w:r>
      <w:r>
        <w:rPr>
          <w:kern w:val="2"/>
        </w:rPr>
        <w:t>330m</w:t>
      </w:r>
      <w:r>
        <w:rPr>
          <w:rFonts w:cs="宋体" w:hint="eastAsia"/>
          <w:kern w:val="2"/>
        </w:rPr>
        <w:t>。</w:t>
      </w:r>
    </w:p>
    <w:p w:rsidR="005E49F7" w:rsidRDefault="005E49F7" w:rsidP="00D23914">
      <w:pPr>
        <w:pStyle w:val="BodyText"/>
        <w:adjustRightInd w:val="0"/>
        <w:snapToGrid w:val="0"/>
        <w:spacing w:line="360" w:lineRule="auto"/>
        <w:ind w:firstLineChars="200" w:firstLine="31680"/>
        <w:rPr>
          <w:kern w:val="2"/>
        </w:rPr>
      </w:pPr>
      <w:r>
        <w:rPr>
          <w:kern w:val="2"/>
        </w:rPr>
        <w:t>3</w:t>
      </w:r>
      <w:r>
        <w:rPr>
          <w:rFonts w:cs="宋体" w:hint="eastAsia"/>
          <w:kern w:val="2"/>
        </w:rPr>
        <w:t>．汀江</w:t>
      </w:r>
    </w:p>
    <w:p w:rsidR="005E49F7" w:rsidRDefault="005E49F7" w:rsidP="00D23914">
      <w:pPr>
        <w:pStyle w:val="BodyText"/>
        <w:adjustRightInd w:val="0"/>
        <w:snapToGrid w:val="0"/>
        <w:spacing w:line="360" w:lineRule="auto"/>
        <w:ind w:firstLineChars="200" w:firstLine="31680"/>
        <w:rPr>
          <w:kern w:val="2"/>
        </w:rPr>
      </w:pPr>
      <w:r>
        <w:rPr>
          <w:rFonts w:cs="宋体" w:hint="eastAsia"/>
          <w:kern w:val="2"/>
        </w:rPr>
        <w:t>汀江在梅州市范围规划整治河段为茶阳至三河坝，航道里程长度为</w:t>
      </w:r>
      <w:r>
        <w:rPr>
          <w:kern w:val="2"/>
        </w:rPr>
        <w:t>22km</w:t>
      </w:r>
      <w:r>
        <w:rPr>
          <w:rFonts w:cs="宋体" w:hint="eastAsia"/>
          <w:kern w:val="2"/>
        </w:rPr>
        <w:t>，现状等级为</w:t>
      </w:r>
      <w:r>
        <w:rPr>
          <w:kern w:val="2"/>
        </w:rPr>
        <w:t>7</w:t>
      </w:r>
      <w:r>
        <w:rPr>
          <w:rFonts w:cs="宋体" w:hint="eastAsia"/>
          <w:kern w:val="2"/>
        </w:rPr>
        <w:t>级航道，技术等级为</w:t>
      </w:r>
      <w:r>
        <w:rPr>
          <w:kern w:val="2"/>
        </w:rPr>
        <w:t>6</w:t>
      </w:r>
      <w:r>
        <w:rPr>
          <w:rFonts w:cs="宋体" w:hint="eastAsia"/>
          <w:kern w:val="2"/>
        </w:rPr>
        <w:t>级航道，规划为通航</w:t>
      </w:r>
      <w:r>
        <w:rPr>
          <w:kern w:val="2"/>
        </w:rPr>
        <w:t>1000</w:t>
      </w:r>
      <w:r>
        <w:rPr>
          <w:rFonts w:cs="宋体" w:hint="eastAsia"/>
          <w:kern w:val="2"/>
        </w:rPr>
        <w:t>吨级船舶的内河</w:t>
      </w:r>
      <w:r>
        <w:rPr>
          <w:kern w:val="2"/>
        </w:rPr>
        <w:t>3</w:t>
      </w:r>
      <w:r>
        <w:rPr>
          <w:rFonts w:cs="宋体" w:hint="eastAsia"/>
          <w:kern w:val="2"/>
        </w:rPr>
        <w:t>级航道，航道尺度为</w:t>
      </w:r>
      <w:r>
        <w:rPr>
          <w:kern w:val="2"/>
        </w:rPr>
        <w:t>2.4</w:t>
      </w:r>
      <w:r>
        <w:rPr>
          <w:rFonts w:cs="宋体" w:hint="eastAsia"/>
          <w:kern w:val="2"/>
        </w:rPr>
        <w:t>×</w:t>
      </w:r>
      <w:r>
        <w:rPr>
          <w:kern w:val="2"/>
        </w:rPr>
        <w:t>60</w:t>
      </w:r>
      <w:r>
        <w:rPr>
          <w:rFonts w:cs="宋体" w:hint="eastAsia"/>
          <w:kern w:val="2"/>
        </w:rPr>
        <w:t>×</w:t>
      </w:r>
      <w:r>
        <w:rPr>
          <w:kern w:val="2"/>
        </w:rPr>
        <w:t>480m</w:t>
      </w:r>
      <w:r>
        <w:rPr>
          <w:rFonts w:cs="宋体" w:hint="eastAsia"/>
          <w:kern w:val="2"/>
        </w:rPr>
        <w:t>。</w:t>
      </w:r>
    </w:p>
    <w:p w:rsidR="005E49F7" w:rsidRDefault="005E49F7" w:rsidP="00D23914">
      <w:pPr>
        <w:pStyle w:val="BodyText"/>
        <w:adjustRightInd w:val="0"/>
        <w:snapToGrid w:val="0"/>
        <w:spacing w:line="360" w:lineRule="auto"/>
        <w:ind w:firstLineChars="200" w:firstLine="31680"/>
        <w:rPr>
          <w:kern w:val="2"/>
        </w:rPr>
      </w:pPr>
      <w:r>
        <w:rPr>
          <w:kern w:val="2"/>
        </w:rPr>
        <w:t>4</w:t>
      </w:r>
      <w:r>
        <w:rPr>
          <w:rFonts w:cs="宋体" w:hint="eastAsia"/>
          <w:kern w:val="2"/>
        </w:rPr>
        <w:t>．韩江</w:t>
      </w:r>
    </w:p>
    <w:p w:rsidR="005E49F7" w:rsidRDefault="005E49F7" w:rsidP="00D23914">
      <w:pPr>
        <w:pStyle w:val="BodyText"/>
        <w:adjustRightInd w:val="0"/>
        <w:snapToGrid w:val="0"/>
        <w:spacing w:line="360" w:lineRule="auto"/>
        <w:ind w:firstLineChars="200" w:firstLine="31680"/>
        <w:rPr>
          <w:kern w:val="2"/>
        </w:rPr>
      </w:pPr>
      <w:r>
        <w:rPr>
          <w:rFonts w:cs="宋体" w:hint="eastAsia"/>
          <w:kern w:val="2"/>
        </w:rPr>
        <w:t>韩江干流三河坝至潮州枢纽航道里程</w:t>
      </w:r>
      <w:r>
        <w:rPr>
          <w:kern w:val="2"/>
        </w:rPr>
        <w:t>115km</w:t>
      </w:r>
      <w:r>
        <w:rPr>
          <w:rFonts w:cs="宋体" w:hint="eastAsia"/>
          <w:kern w:val="2"/>
        </w:rPr>
        <w:t>，现状航道等级</w:t>
      </w:r>
      <w:r>
        <w:rPr>
          <w:kern w:val="2"/>
        </w:rPr>
        <w:t>7</w:t>
      </w:r>
      <w:r>
        <w:rPr>
          <w:rFonts w:cs="宋体" w:hint="eastAsia"/>
          <w:kern w:val="2"/>
        </w:rPr>
        <w:t>级，技术等级</w:t>
      </w:r>
      <w:r>
        <w:rPr>
          <w:kern w:val="2"/>
        </w:rPr>
        <w:t>5</w:t>
      </w:r>
      <w:r>
        <w:rPr>
          <w:rFonts w:cs="宋体" w:hint="eastAsia"/>
          <w:kern w:val="2"/>
        </w:rPr>
        <w:t>级，规划为通航</w:t>
      </w:r>
      <w:r>
        <w:rPr>
          <w:kern w:val="2"/>
        </w:rPr>
        <w:t>1000</w:t>
      </w:r>
      <w:r>
        <w:rPr>
          <w:rFonts w:cs="宋体" w:hint="eastAsia"/>
          <w:kern w:val="2"/>
        </w:rPr>
        <w:t>吨级船舶的内河</w:t>
      </w:r>
      <w:r>
        <w:rPr>
          <w:kern w:val="2"/>
        </w:rPr>
        <w:t>3</w:t>
      </w:r>
      <w:r>
        <w:rPr>
          <w:rFonts w:cs="宋体" w:hint="eastAsia"/>
          <w:kern w:val="2"/>
        </w:rPr>
        <w:t>级航道，规划为</w:t>
      </w:r>
      <w:r>
        <w:rPr>
          <w:kern w:val="2"/>
        </w:rPr>
        <w:t>3</w:t>
      </w:r>
      <w:r>
        <w:rPr>
          <w:rFonts w:cs="宋体" w:hint="eastAsia"/>
          <w:kern w:val="2"/>
        </w:rPr>
        <w:t>级航道，航道尺度为</w:t>
      </w:r>
      <w:r>
        <w:rPr>
          <w:kern w:val="2"/>
        </w:rPr>
        <w:t>2.4</w:t>
      </w:r>
      <w:r>
        <w:rPr>
          <w:rFonts w:cs="宋体" w:hint="eastAsia"/>
          <w:kern w:val="2"/>
        </w:rPr>
        <w:t>×</w:t>
      </w:r>
      <w:r>
        <w:rPr>
          <w:kern w:val="2"/>
        </w:rPr>
        <w:t>60</w:t>
      </w:r>
      <w:r>
        <w:rPr>
          <w:rFonts w:cs="宋体" w:hint="eastAsia"/>
          <w:kern w:val="2"/>
        </w:rPr>
        <w:t>×</w:t>
      </w:r>
      <w:r>
        <w:rPr>
          <w:kern w:val="2"/>
        </w:rPr>
        <w:t>480m</w:t>
      </w:r>
      <w:r>
        <w:rPr>
          <w:rFonts w:cs="宋体" w:hint="eastAsia"/>
          <w:kern w:val="2"/>
        </w:rPr>
        <w:t>。</w:t>
      </w:r>
    </w:p>
    <w:p w:rsidR="005E49F7" w:rsidRDefault="005E49F7" w:rsidP="00D23914">
      <w:pPr>
        <w:pStyle w:val="ad"/>
        <w:spacing w:beforeLines="0" w:afterLines="0"/>
        <w:ind w:firstLine="31680"/>
      </w:pPr>
      <w:r>
        <w:rPr>
          <w:rFonts w:cs="黑体" w:hint="eastAsia"/>
        </w:rPr>
        <w:t>（</w:t>
      </w:r>
      <w:r>
        <w:t>4</w:t>
      </w:r>
      <w:r>
        <w:rPr>
          <w:rFonts w:cs="黑体" w:hint="eastAsia"/>
        </w:rPr>
        <w:t>）锚地规划</w:t>
      </w:r>
    </w:p>
    <w:p w:rsidR="005E49F7" w:rsidRDefault="005E49F7" w:rsidP="00D23914">
      <w:pPr>
        <w:pStyle w:val="BodyText"/>
        <w:adjustRightInd w:val="0"/>
        <w:snapToGrid w:val="0"/>
        <w:spacing w:line="360" w:lineRule="auto"/>
        <w:ind w:firstLineChars="200" w:firstLine="31680"/>
        <w:rPr>
          <w:rFonts w:ascii="宋体"/>
        </w:rPr>
      </w:pPr>
      <w:r>
        <w:rPr>
          <w:rFonts w:ascii="宋体" w:hAnsi="宋体" w:cs="宋体" w:hint="eastAsia"/>
        </w:rPr>
        <w:t>根据梅州港到港船舶情况和进港安全航行需要，结合水域条件，规划三河、松口等</w:t>
      </w:r>
      <w:r>
        <w:rPr>
          <w:rFonts w:ascii="宋体" w:hAnsi="宋体" w:cs="宋体"/>
        </w:rPr>
        <w:t>2</w:t>
      </w:r>
      <w:r>
        <w:rPr>
          <w:rFonts w:ascii="宋体" w:hAnsi="宋体" w:cs="宋体" w:hint="eastAsia"/>
        </w:rPr>
        <w:t>处锚地，见下图</w:t>
      </w:r>
      <w:r>
        <w:rPr>
          <w:rFonts w:ascii="宋体" w:hAnsi="宋体" w:cs="宋体"/>
        </w:rPr>
        <w:t>1.2-2</w:t>
      </w:r>
      <w:r>
        <w:rPr>
          <w:rFonts w:ascii="宋体" w:hAnsi="宋体" w:cs="宋体" w:hint="eastAsia"/>
        </w:rPr>
        <w:t>、</w:t>
      </w:r>
      <w:r>
        <w:rPr>
          <w:rFonts w:ascii="宋体" w:hAnsi="宋体" w:cs="宋体"/>
        </w:rPr>
        <w:t>1.2-3</w:t>
      </w:r>
      <w:r>
        <w:rPr>
          <w:rFonts w:ascii="宋体" w:hAnsi="宋体" w:cs="宋体" w:hint="eastAsia"/>
        </w:rPr>
        <w:t>和表</w:t>
      </w:r>
      <w:r>
        <w:rPr>
          <w:rFonts w:ascii="宋体" w:hAnsi="宋体" w:cs="宋体"/>
        </w:rPr>
        <w:t>1.2-4</w:t>
      </w:r>
      <w:r>
        <w:rPr>
          <w:rFonts w:ascii="宋体" w:hAnsi="宋体" w:cs="宋体" w:hint="eastAsia"/>
        </w:rPr>
        <w:t>。</w:t>
      </w:r>
    </w:p>
    <w:p w:rsidR="005E49F7" w:rsidRDefault="005E49F7">
      <w:pPr>
        <w:pStyle w:val="Heading5"/>
        <w:spacing w:before="120"/>
      </w:pPr>
      <w:r>
        <w:rPr>
          <w:rFonts w:cs="黑体" w:hint="eastAsia"/>
        </w:rPr>
        <w:t>表</w:t>
      </w:r>
      <w:r>
        <w:t>1.2-2</w:t>
      </w:r>
      <w:r>
        <w:rPr>
          <w:rFonts w:cs="黑体" w:hint="eastAsia"/>
        </w:rPr>
        <w:t>锚地规划坐标表</w:t>
      </w:r>
    </w:p>
    <w:tbl>
      <w:tblPr>
        <w:tblW w:w="85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59"/>
        <w:gridCol w:w="669"/>
        <w:gridCol w:w="1477"/>
        <w:gridCol w:w="1535"/>
        <w:gridCol w:w="715"/>
        <w:gridCol w:w="1591"/>
        <w:gridCol w:w="1529"/>
      </w:tblGrid>
      <w:tr w:rsidR="005E49F7">
        <w:trPr>
          <w:cantSplit/>
          <w:trHeight w:val="340"/>
        </w:trPr>
        <w:tc>
          <w:tcPr>
            <w:tcW w:w="1059" w:type="dxa"/>
            <w:vMerge w:val="restart"/>
            <w:vAlign w:val="center"/>
          </w:tcPr>
          <w:p w:rsidR="005E49F7" w:rsidRDefault="005E49F7">
            <w:pPr>
              <w:adjustRightInd w:val="0"/>
              <w:snapToGrid w:val="0"/>
              <w:spacing w:line="240" w:lineRule="auto"/>
              <w:jc w:val="center"/>
              <w:rPr>
                <w:sz w:val="21"/>
                <w:szCs w:val="21"/>
              </w:rPr>
            </w:pPr>
            <w:r>
              <w:rPr>
                <w:rFonts w:cs="宋体" w:hint="eastAsia"/>
                <w:sz w:val="21"/>
                <w:szCs w:val="21"/>
              </w:rPr>
              <w:t>锚地</w:t>
            </w:r>
          </w:p>
          <w:p w:rsidR="005E49F7" w:rsidRDefault="005E49F7">
            <w:pPr>
              <w:adjustRightInd w:val="0"/>
              <w:snapToGrid w:val="0"/>
              <w:spacing w:line="240" w:lineRule="auto"/>
              <w:jc w:val="center"/>
              <w:rPr>
                <w:sz w:val="21"/>
                <w:szCs w:val="21"/>
              </w:rPr>
            </w:pPr>
            <w:r>
              <w:rPr>
                <w:rFonts w:cs="宋体" w:hint="eastAsia"/>
                <w:sz w:val="21"/>
                <w:szCs w:val="21"/>
              </w:rPr>
              <w:t>名称</w:t>
            </w:r>
          </w:p>
        </w:tc>
        <w:tc>
          <w:tcPr>
            <w:tcW w:w="669" w:type="dxa"/>
            <w:vMerge w:val="restart"/>
            <w:vAlign w:val="center"/>
          </w:tcPr>
          <w:p w:rsidR="005E49F7" w:rsidRDefault="005E49F7">
            <w:pPr>
              <w:adjustRightInd w:val="0"/>
              <w:snapToGrid w:val="0"/>
              <w:spacing w:line="240" w:lineRule="auto"/>
              <w:jc w:val="center"/>
              <w:rPr>
                <w:sz w:val="21"/>
                <w:szCs w:val="21"/>
              </w:rPr>
            </w:pPr>
            <w:r>
              <w:rPr>
                <w:rFonts w:cs="宋体" w:hint="eastAsia"/>
                <w:sz w:val="21"/>
                <w:szCs w:val="21"/>
              </w:rPr>
              <w:t>控制点</w:t>
            </w:r>
          </w:p>
        </w:tc>
        <w:tc>
          <w:tcPr>
            <w:tcW w:w="3012" w:type="dxa"/>
            <w:gridSpan w:val="2"/>
            <w:vAlign w:val="center"/>
          </w:tcPr>
          <w:p w:rsidR="005E49F7" w:rsidRDefault="005E49F7">
            <w:pPr>
              <w:adjustRightInd w:val="0"/>
              <w:snapToGrid w:val="0"/>
              <w:spacing w:line="240" w:lineRule="auto"/>
              <w:jc w:val="center"/>
              <w:rPr>
                <w:sz w:val="21"/>
                <w:szCs w:val="21"/>
              </w:rPr>
            </w:pPr>
            <w:r>
              <w:rPr>
                <w:rFonts w:cs="宋体" w:hint="eastAsia"/>
                <w:sz w:val="21"/>
                <w:szCs w:val="21"/>
              </w:rPr>
              <w:t>坐标</w:t>
            </w:r>
          </w:p>
        </w:tc>
        <w:tc>
          <w:tcPr>
            <w:tcW w:w="715" w:type="dxa"/>
            <w:vMerge w:val="restart"/>
            <w:vAlign w:val="center"/>
          </w:tcPr>
          <w:p w:rsidR="005E49F7" w:rsidRDefault="005E49F7">
            <w:pPr>
              <w:adjustRightInd w:val="0"/>
              <w:snapToGrid w:val="0"/>
              <w:spacing w:line="240" w:lineRule="auto"/>
              <w:jc w:val="center"/>
              <w:rPr>
                <w:sz w:val="21"/>
                <w:szCs w:val="21"/>
              </w:rPr>
            </w:pPr>
            <w:r>
              <w:rPr>
                <w:rFonts w:cs="宋体" w:hint="eastAsia"/>
                <w:sz w:val="21"/>
                <w:szCs w:val="21"/>
              </w:rPr>
              <w:t>控制点</w:t>
            </w:r>
          </w:p>
        </w:tc>
        <w:tc>
          <w:tcPr>
            <w:tcW w:w="3120" w:type="dxa"/>
            <w:gridSpan w:val="2"/>
            <w:vAlign w:val="center"/>
          </w:tcPr>
          <w:p w:rsidR="005E49F7" w:rsidRDefault="005E49F7">
            <w:pPr>
              <w:adjustRightInd w:val="0"/>
              <w:snapToGrid w:val="0"/>
              <w:spacing w:line="240" w:lineRule="auto"/>
              <w:jc w:val="center"/>
              <w:rPr>
                <w:sz w:val="21"/>
                <w:szCs w:val="21"/>
              </w:rPr>
            </w:pPr>
            <w:r>
              <w:rPr>
                <w:rFonts w:cs="宋体" w:hint="eastAsia"/>
                <w:sz w:val="21"/>
                <w:szCs w:val="21"/>
              </w:rPr>
              <w:t>坐标</w:t>
            </w:r>
          </w:p>
        </w:tc>
      </w:tr>
      <w:tr w:rsidR="005E49F7">
        <w:trPr>
          <w:cantSplit/>
          <w:trHeight w:val="340"/>
        </w:trPr>
        <w:tc>
          <w:tcPr>
            <w:tcW w:w="1059" w:type="dxa"/>
            <w:vMerge/>
            <w:vAlign w:val="center"/>
          </w:tcPr>
          <w:p w:rsidR="005E49F7" w:rsidRDefault="005E49F7">
            <w:pPr>
              <w:adjustRightInd w:val="0"/>
              <w:snapToGrid w:val="0"/>
              <w:spacing w:line="240" w:lineRule="auto"/>
              <w:jc w:val="center"/>
              <w:rPr>
                <w:sz w:val="21"/>
                <w:szCs w:val="21"/>
              </w:rPr>
            </w:pPr>
          </w:p>
        </w:tc>
        <w:tc>
          <w:tcPr>
            <w:tcW w:w="669" w:type="dxa"/>
            <w:vMerge/>
            <w:vAlign w:val="center"/>
          </w:tcPr>
          <w:p w:rsidR="005E49F7" w:rsidRDefault="005E49F7">
            <w:pPr>
              <w:adjustRightInd w:val="0"/>
              <w:snapToGrid w:val="0"/>
              <w:spacing w:line="240" w:lineRule="auto"/>
              <w:jc w:val="center"/>
              <w:rPr>
                <w:sz w:val="21"/>
                <w:szCs w:val="21"/>
              </w:rPr>
            </w:pPr>
          </w:p>
        </w:tc>
        <w:tc>
          <w:tcPr>
            <w:tcW w:w="1477" w:type="dxa"/>
            <w:vAlign w:val="center"/>
          </w:tcPr>
          <w:p w:rsidR="005E49F7" w:rsidRDefault="005E49F7">
            <w:pPr>
              <w:adjustRightInd w:val="0"/>
              <w:snapToGrid w:val="0"/>
              <w:spacing w:line="240" w:lineRule="auto"/>
              <w:jc w:val="center"/>
              <w:rPr>
                <w:sz w:val="21"/>
                <w:szCs w:val="21"/>
              </w:rPr>
            </w:pPr>
            <w:r>
              <w:rPr>
                <w:sz w:val="21"/>
                <w:szCs w:val="21"/>
              </w:rPr>
              <w:t>X</w:t>
            </w:r>
          </w:p>
        </w:tc>
        <w:tc>
          <w:tcPr>
            <w:tcW w:w="1535" w:type="dxa"/>
            <w:vAlign w:val="center"/>
          </w:tcPr>
          <w:p w:rsidR="005E49F7" w:rsidRDefault="005E49F7">
            <w:pPr>
              <w:adjustRightInd w:val="0"/>
              <w:snapToGrid w:val="0"/>
              <w:spacing w:line="240" w:lineRule="auto"/>
              <w:jc w:val="center"/>
              <w:rPr>
                <w:sz w:val="21"/>
                <w:szCs w:val="21"/>
              </w:rPr>
            </w:pPr>
            <w:r>
              <w:rPr>
                <w:sz w:val="21"/>
                <w:szCs w:val="21"/>
              </w:rPr>
              <w:t>Y</w:t>
            </w:r>
          </w:p>
        </w:tc>
        <w:tc>
          <w:tcPr>
            <w:tcW w:w="715" w:type="dxa"/>
            <w:vMerge/>
            <w:vAlign w:val="center"/>
          </w:tcPr>
          <w:p w:rsidR="005E49F7" w:rsidRDefault="005E49F7">
            <w:pPr>
              <w:pStyle w:val="ae"/>
              <w:rPr>
                <w:spacing w:val="0"/>
                <w:sz w:val="21"/>
                <w:szCs w:val="21"/>
              </w:rPr>
            </w:pPr>
          </w:p>
        </w:tc>
        <w:tc>
          <w:tcPr>
            <w:tcW w:w="1591" w:type="dxa"/>
            <w:vAlign w:val="center"/>
          </w:tcPr>
          <w:p w:rsidR="005E49F7" w:rsidRDefault="005E49F7">
            <w:pPr>
              <w:adjustRightInd w:val="0"/>
              <w:snapToGrid w:val="0"/>
              <w:spacing w:line="240" w:lineRule="auto"/>
              <w:jc w:val="center"/>
              <w:rPr>
                <w:sz w:val="21"/>
                <w:szCs w:val="21"/>
              </w:rPr>
            </w:pPr>
            <w:r>
              <w:rPr>
                <w:sz w:val="21"/>
                <w:szCs w:val="21"/>
              </w:rPr>
              <w:t>X</w:t>
            </w:r>
          </w:p>
        </w:tc>
        <w:tc>
          <w:tcPr>
            <w:tcW w:w="1529" w:type="dxa"/>
            <w:vAlign w:val="center"/>
          </w:tcPr>
          <w:p w:rsidR="005E49F7" w:rsidRDefault="005E49F7">
            <w:pPr>
              <w:adjustRightInd w:val="0"/>
              <w:snapToGrid w:val="0"/>
              <w:spacing w:line="240" w:lineRule="auto"/>
              <w:jc w:val="center"/>
              <w:rPr>
                <w:sz w:val="21"/>
                <w:szCs w:val="21"/>
              </w:rPr>
            </w:pPr>
            <w:r>
              <w:rPr>
                <w:sz w:val="21"/>
                <w:szCs w:val="21"/>
              </w:rPr>
              <w:t>Y</w:t>
            </w:r>
          </w:p>
        </w:tc>
      </w:tr>
      <w:tr w:rsidR="005E49F7">
        <w:trPr>
          <w:cantSplit/>
          <w:trHeight w:val="340"/>
        </w:trPr>
        <w:tc>
          <w:tcPr>
            <w:tcW w:w="1059" w:type="dxa"/>
            <w:vMerge w:val="restart"/>
            <w:vAlign w:val="center"/>
          </w:tcPr>
          <w:p w:rsidR="005E49F7" w:rsidRDefault="005E49F7">
            <w:pPr>
              <w:adjustRightInd w:val="0"/>
              <w:snapToGrid w:val="0"/>
              <w:spacing w:line="240" w:lineRule="auto"/>
              <w:jc w:val="center"/>
              <w:rPr>
                <w:sz w:val="21"/>
                <w:szCs w:val="21"/>
              </w:rPr>
            </w:pPr>
            <w:r>
              <w:rPr>
                <w:rFonts w:cs="宋体" w:hint="eastAsia"/>
                <w:sz w:val="21"/>
                <w:szCs w:val="21"/>
              </w:rPr>
              <w:t>松口作业区锚地</w:t>
            </w:r>
          </w:p>
        </w:tc>
        <w:tc>
          <w:tcPr>
            <w:tcW w:w="669" w:type="dxa"/>
            <w:vAlign w:val="center"/>
          </w:tcPr>
          <w:p w:rsidR="005E49F7" w:rsidRDefault="005E49F7">
            <w:pPr>
              <w:adjustRightInd w:val="0"/>
              <w:snapToGrid w:val="0"/>
              <w:spacing w:line="240" w:lineRule="auto"/>
              <w:jc w:val="center"/>
              <w:rPr>
                <w:sz w:val="21"/>
                <w:szCs w:val="21"/>
              </w:rPr>
            </w:pPr>
            <w:r>
              <w:rPr>
                <w:sz w:val="21"/>
                <w:szCs w:val="21"/>
              </w:rPr>
              <w:t>1</w:t>
            </w:r>
          </w:p>
        </w:tc>
        <w:tc>
          <w:tcPr>
            <w:tcW w:w="1477" w:type="dxa"/>
            <w:vAlign w:val="center"/>
          </w:tcPr>
          <w:p w:rsidR="005E49F7" w:rsidRDefault="005E49F7">
            <w:pPr>
              <w:spacing w:line="240" w:lineRule="auto"/>
              <w:rPr>
                <w:sz w:val="21"/>
                <w:szCs w:val="21"/>
              </w:rPr>
            </w:pPr>
            <w:r>
              <w:rPr>
                <w:sz w:val="21"/>
                <w:szCs w:val="21"/>
              </w:rPr>
              <w:t>2711766.0565</w:t>
            </w:r>
          </w:p>
        </w:tc>
        <w:tc>
          <w:tcPr>
            <w:tcW w:w="1535" w:type="dxa"/>
            <w:vAlign w:val="center"/>
          </w:tcPr>
          <w:p w:rsidR="005E49F7" w:rsidRDefault="005E49F7">
            <w:pPr>
              <w:spacing w:line="240" w:lineRule="auto"/>
              <w:rPr>
                <w:sz w:val="21"/>
                <w:szCs w:val="21"/>
              </w:rPr>
            </w:pPr>
            <w:r>
              <w:rPr>
                <w:sz w:val="21"/>
                <w:szCs w:val="21"/>
              </w:rPr>
              <w:t>39443571.5702</w:t>
            </w:r>
          </w:p>
        </w:tc>
        <w:tc>
          <w:tcPr>
            <w:tcW w:w="715" w:type="dxa"/>
            <w:vAlign w:val="center"/>
          </w:tcPr>
          <w:p w:rsidR="005E49F7" w:rsidRDefault="005E49F7">
            <w:pPr>
              <w:pStyle w:val="ae"/>
              <w:rPr>
                <w:spacing w:val="0"/>
                <w:sz w:val="21"/>
                <w:szCs w:val="21"/>
              </w:rPr>
            </w:pPr>
            <w:r>
              <w:rPr>
                <w:spacing w:val="0"/>
                <w:sz w:val="21"/>
                <w:szCs w:val="21"/>
              </w:rPr>
              <w:t>3</w:t>
            </w:r>
          </w:p>
        </w:tc>
        <w:tc>
          <w:tcPr>
            <w:tcW w:w="1591" w:type="dxa"/>
            <w:vAlign w:val="center"/>
          </w:tcPr>
          <w:p w:rsidR="005E49F7" w:rsidRDefault="005E49F7">
            <w:pPr>
              <w:spacing w:line="240" w:lineRule="auto"/>
              <w:jc w:val="center"/>
              <w:rPr>
                <w:sz w:val="21"/>
                <w:szCs w:val="21"/>
              </w:rPr>
            </w:pPr>
            <w:r>
              <w:rPr>
                <w:sz w:val="21"/>
                <w:szCs w:val="21"/>
              </w:rPr>
              <w:t>2712044.5575</w:t>
            </w:r>
          </w:p>
        </w:tc>
        <w:tc>
          <w:tcPr>
            <w:tcW w:w="1529" w:type="dxa"/>
            <w:vAlign w:val="center"/>
          </w:tcPr>
          <w:p w:rsidR="005E49F7" w:rsidRDefault="005E49F7">
            <w:pPr>
              <w:spacing w:line="240" w:lineRule="auto"/>
              <w:jc w:val="center"/>
              <w:rPr>
                <w:sz w:val="21"/>
                <w:szCs w:val="21"/>
              </w:rPr>
            </w:pPr>
            <w:r>
              <w:rPr>
                <w:sz w:val="21"/>
                <w:szCs w:val="21"/>
              </w:rPr>
              <w:t>39443613.2497</w:t>
            </w:r>
          </w:p>
        </w:tc>
      </w:tr>
      <w:tr w:rsidR="005E49F7">
        <w:trPr>
          <w:cantSplit/>
          <w:trHeight w:val="340"/>
        </w:trPr>
        <w:tc>
          <w:tcPr>
            <w:tcW w:w="1059" w:type="dxa"/>
            <w:vMerge/>
            <w:vAlign w:val="center"/>
          </w:tcPr>
          <w:p w:rsidR="005E49F7" w:rsidRDefault="005E49F7">
            <w:pPr>
              <w:adjustRightInd w:val="0"/>
              <w:snapToGrid w:val="0"/>
              <w:spacing w:line="240" w:lineRule="auto"/>
              <w:jc w:val="center"/>
              <w:rPr>
                <w:sz w:val="21"/>
                <w:szCs w:val="21"/>
              </w:rPr>
            </w:pPr>
          </w:p>
        </w:tc>
        <w:tc>
          <w:tcPr>
            <w:tcW w:w="669" w:type="dxa"/>
            <w:vAlign w:val="center"/>
          </w:tcPr>
          <w:p w:rsidR="005E49F7" w:rsidRDefault="005E49F7">
            <w:pPr>
              <w:adjustRightInd w:val="0"/>
              <w:snapToGrid w:val="0"/>
              <w:spacing w:line="240" w:lineRule="auto"/>
              <w:jc w:val="center"/>
              <w:rPr>
                <w:sz w:val="21"/>
                <w:szCs w:val="21"/>
              </w:rPr>
            </w:pPr>
            <w:r>
              <w:rPr>
                <w:sz w:val="21"/>
                <w:szCs w:val="21"/>
              </w:rPr>
              <w:t>2</w:t>
            </w:r>
          </w:p>
        </w:tc>
        <w:tc>
          <w:tcPr>
            <w:tcW w:w="1477" w:type="dxa"/>
            <w:vAlign w:val="center"/>
          </w:tcPr>
          <w:p w:rsidR="005E49F7" w:rsidRDefault="005E49F7">
            <w:pPr>
              <w:spacing w:line="240" w:lineRule="auto"/>
              <w:rPr>
                <w:sz w:val="21"/>
                <w:szCs w:val="21"/>
              </w:rPr>
            </w:pPr>
            <w:r>
              <w:rPr>
                <w:sz w:val="21"/>
                <w:szCs w:val="21"/>
              </w:rPr>
              <w:t>2712010.728</w:t>
            </w:r>
          </w:p>
        </w:tc>
        <w:tc>
          <w:tcPr>
            <w:tcW w:w="1535" w:type="dxa"/>
            <w:vAlign w:val="center"/>
          </w:tcPr>
          <w:p w:rsidR="005E49F7" w:rsidRDefault="005E49F7">
            <w:pPr>
              <w:spacing w:line="240" w:lineRule="auto"/>
              <w:rPr>
                <w:sz w:val="21"/>
                <w:szCs w:val="21"/>
              </w:rPr>
            </w:pPr>
            <w:r>
              <w:rPr>
                <w:sz w:val="21"/>
                <w:szCs w:val="21"/>
              </w:rPr>
              <w:t>39443685.7449</w:t>
            </w:r>
          </w:p>
        </w:tc>
        <w:tc>
          <w:tcPr>
            <w:tcW w:w="715" w:type="dxa"/>
            <w:vAlign w:val="center"/>
          </w:tcPr>
          <w:p w:rsidR="005E49F7" w:rsidRDefault="005E49F7">
            <w:pPr>
              <w:pStyle w:val="ae"/>
              <w:rPr>
                <w:spacing w:val="0"/>
                <w:sz w:val="21"/>
                <w:szCs w:val="21"/>
              </w:rPr>
            </w:pPr>
            <w:r>
              <w:rPr>
                <w:spacing w:val="0"/>
                <w:sz w:val="21"/>
                <w:szCs w:val="21"/>
              </w:rPr>
              <w:t>4</w:t>
            </w:r>
          </w:p>
        </w:tc>
        <w:tc>
          <w:tcPr>
            <w:tcW w:w="1591" w:type="dxa"/>
            <w:vAlign w:val="center"/>
          </w:tcPr>
          <w:p w:rsidR="005E49F7" w:rsidRDefault="005E49F7">
            <w:pPr>
              <w:spacing w:line="240" w:lineRule="auto"/>
              <w:jc w:val="center"/>
              <w:rPr>
                <w:sz w:val="21"/>
                <w:szCs w:val="21"/>
              </w:rPr>
            </w:pPr>
            <w:r>
              <w:rPr>
                <w:sz w:val="21"/>
                <w:szCs w:val="21"/>
              </w:rPr>
              <w:t>2711799.8861</w:t>
            </w:r>
          </w:p>
        </w:tc>
        <w:tc>
          <w:tcPr>
            <w:tcW w:w="1529" w:type="dxa"/>
            <w:vAlign w:val="center"/>
          </w:tcPr>
          <w:p w:rsidR="005E49F7" w:rsidRDefault="005E49F7">
            <w:pPr>
              <w:spacing w:line="240" w:lineRule="auto"/>
              <w:jc w:val="center"/>
              <w:rPr>
                <w:sz w:val="21"/>
                <w:szCs w:val="21"/>
              </w:rPr>
            </w:pPr>
            <w:r>
              <w:rPr>
                <w:sz w:val="21"/>
                <w:szCs w:val="21"/>
              </w:rPr>
              <w:t>39443499.0749</w:t>
            </w:r>
          </w:p>
        </w:tc>
      </w:tr>
      <w:tr w:rsidR="005E49F7">
        <w:trPr>
          <w:cantSplit/>
          <w:trHeight w:val="340"/>
        </w:trPr>
        <w:tc>
          <w:tcPr>
            <w:tcW w:w="1059" w:type="dxa"/>
            <w:vMerge w:val="restart"/>
            <w:vAlign w:val="center"/>
          </w:tcPr>
          <w:p w:rsidR="005E49F7" w:rsidRDefault="005E49F7">
            <w:pPr>
              <w:adjustRightInd w:val="0"/>
              <w:snapToGrid w:val="0"/>
              <w:spacing w:line="240" w:lineRule="auto"/>
              <w:jc w:val="center"/>
              <w:rPr>
                <w:sz w:val="21"/>
                <w:szCs w:val="21"/>
              </w:rPr>
            </w:pPr>
            <w:r>
              <w:rPr>
                <w:rFonts w:cs="宋体" w:hint="eastAsia"/>
                <w:sz w:val="21"/>
                <w:szCs w:val="21"/>
              </w:rPr>
              <w:t>三河作业区锚地</w:t>
            </w:r>
          </w:p>
        </w:tc>
        <w:tc>
          <w:tcPr>
            <w:tcW w:w="669" w:type="dxa"/>
            <w:vAlign w:val="center"/>
          </w:tcPr>
          <w:p w:rsidR="005E49F7" w:rsidRDefault="005E49F7">
            <w:pPr>
              <w:adjustRightInd w:val="0"/>
              <w:snapToGrid w:val="0"/>
              <w:spacing w:line="240" w:lineRule="auto"/>
              <w:jc w:val="center"/>
              <w:rPr>
                <w:sz w:val="21"/>
                <w:szCs w:val="21"/>
              </w:rPr>
            </w:pPr>
            <w:r>
              <w:rPr>
                <w:sz w:val="21"/>
                <w:szCs w:val="21"/>
              </w:rPr>
              <w:t>1</w:t>
            </w:r>
          </w:p>
        </w:tc>
        <w:tc>
          <w:tcPr>
            <w:tcW w:w="1477" w:type="dxa"/>
            <w:vAlign w:val="center"/>
          </w:tcPr>
          <w:p w:rsidR="005E49F7" w:rsidRDefault="005E49F7">
            <w:pPr>
              <w:spacing w:line="240" w:lineRule="auto"/>
              <w:rPr>
                <w:sz w:val="21"/>
                <w:szCs w:val="21"/>
              </w:rPr>
            </w:pPr>
            <w:r>
              <w:rPr>
                <w:sz w:val="21"/>
                <w:szCs w:val="21"/>
              </w:rPr>
              <w:t>2699520.2136</w:t>
            </w:r>
          </w:p>
        </w:tc>
        <w:tc>
          <w:tcPr>
            <w:tcW w:w="1535" w:type="dxa"/>
            <w:vAlign w:val="center"/>
          </w:tcPr>
          <w:p w:rsidR="005E49F7" w:rsidRDefault="005E49F7">
            <w:pPr>
              <w:spacing w:line="240" w:lineRule="auto"/>
              <w:rPr>
                <w:sz w:val="21"/>
                <w:szCs w:val="21"/>
              </w:rPr>
            </w:pPr>
            <w:r>
              <w:rPr>
                <w:sz w:val="21"/>
                <w:szCs w:val="21"/>
              </w:rPr>
              <w:t>39456500.9988</w:t>
            </w:r>
          </w:p>
        </w:tc>
        <w:tc>
          <w:tcPr>
            <w:tcW w:w="715" w:type="dxa"/>
            <w:vAlign w:val="center"/>
          </w:tcPr>
          <w:p w:rsidR="005E49F7" w:rsidRDefault="005E49F7">
            <w:pPr>
              <w:pStyle w:val="ae"/>
              <w:rPr>
                <w:spacing w:val="0"/>
                <w:sz w:val="21"/>
                <w:szCs w:val="21"/>
              </w:rPr>
            </w:pPr>
            <w:r>
              <w:rPr>
                <w:spacing w:val="0"/>
                <w:sz w:val="21"/>
                <w:szCs w:val="21"/>
              </w:rPr>
              <w:t>3</w:t>
            </w:r>
          </w:p>
        </w:tc>
        <w:tc>
          <w:tcPr>
            <w:tcW w:w="1591" w:type="dxa"/>
            <w:vAlign w:val="center"/>
          </w:tcPr>
          <w:p w:rsidR="005E49F7" w:rsidRDefault="005E49F7">
            <w:pPr>
              <w:spacing w:line="240" w:lineRule="auto"/>
              <w:jc w:val="center"/>
              <w:rPr>
                <w:sz w:val="21"/>
                <w:szCs w:val="21"/>
              </w:rPr>
            </w:pPr>
            <w:r>
              <w:rPr>
                <w:sz w:val="21"/>
                <w:szCs w:val="21"/>
              </w:rPr>
              <w:t>2699191.1404</w:t>
            </w:r>
          </w:p>
        </w:tc>
        <w:tc>
          <w:tcPr>
            <w:tcW w:w="1529" w:type="dxa"/>
            <w:vAlign w:val="center"/>
          </w:tcPr>
          <w:p w:rsidR="005E49F7" w:rsidRDefault="005E49F7">
            <w:pPr>
              <w:spacing w:line="240" w:lineRule="auto"/>
              <w:jc w:val="center"/>
              <w:rPr>
                <w:sz w:val="21"/>
                <w:szCs w:val="21"/>
              </w:rPr>
            </w:pPr>
            <w:r>
              <w:rPr>
                <w:sz w:val="21"/>
                <w:szCs w:val="21"/>
              </w:rPr>
              <w:t>39456309.3247</w:t>
            </w:r>
          </w:p>
        </w:tc>
      </w:tr>
      <w:tr w:rsidR="005E49F7">
        <w:trPr>
          <w:cantSplit/>
          <w:trHeight w:val="340"/>
        </w:trPr>
        <w:tc>
          <w:tcPr>
            <w:tcW w:w="1059" w:type="dxa"/>
            <w:vMerge/>
            <w:vAlign w:val="center"/>
          </w:tcPr>
          <w:p w:rsidR="005E49F7" w:rsidRDefault="005E49F7">
            <w:pPr>
              <w:adjustRightInd w:val="0"/>
              <w:snapToGrid w:val="0"/>
              <w:spacing w:line="240" w:lineRule="auto"/>
              <w:jc w:val="center"/>
              <w:rPr>
                <w:sz w:val="21"/>
                <w:szCs w:val="21"/>
              </w:rPr>
            </w:pPr>
          </w:p>
        </w:tc>
        <w:tc>
          <w:tcPr>
            <w:tcW w:w="669" w:type="dxa"/>
            <w:vAlign w:val="center"/>
          </w:tcPr>
          <w:p w:rsidR="005E49F7" w:rsidRDefault="005E49F7">
            <w:pPr>
              <w:adjustRightInd w:val="0"/>
              <w:snapToGrid w:val="0"/>
              <w:spacing w:line="240" w:lineRule="auto"/>
              <w:jc w:val="center"/>
              <w:rPr>
                <w:sz w:val="21"/>
                <w:szCs w:val="21"/>
              </w:rPr>
            </w:pPr>
            <w:r>
              <w:rPr>
                <w:sz w:val="21"/>
                <w:szCs w:val="21"/>
              </w:rPr>
              <w:t>2</w:t>
            </w:r>
          </w:p>
        </w:tc>
        <w:tc>
          <w:tcPr>
            <w:tcW w:w="1477" w:type="dxa"/>
            <w:vAlign w:val="center"/>
          </w:tcPr>
          <w:p w:rsidR="005E49F7" w:rsidRDefault="005E49F7">
            <w:pPr>
              <w:spacing w:line="240" w:lineRule="auto"/>
              <w:rPr>
                <w:sz w:val="21"/>
                <w:szCs w:val="21"/>
              </w:rPr>
            </w:pPr>
            <w:r>
              <w:rPr>
                <w:sz w:val="21"/>
                <w:szCs w:val="21"/>
              </w:rPr>
              <w:t>2699170.1806</w:t>
            </w:r>
          </w:p>
        </w:tc>
        <w:tc>
          <w:tcPr>
            <w:tcW w:w="1535" w:type="dxa"/>
            <w:vAlign w:val="center"/>
          </w:tcPr>
          <w:p w:rsidR="005E49F7" w:rsidRDefault="005E49F7">
            <w:pPr>
              <w:spacing w:line="240" w:lineRule="auto"/>
              <w:rPr>
                <w:sz w:val="21"/>
                <w:szCs w:val="21"/>
              </w:rPr>
            </w:pPr>
            <w:r>
              <w:rPr>
                <w:sz w:val="21"/>
                <w:szCs w:val="21"/>
              </w:rPr>
              <w:t>39456448.1513</w:t>
            </w:r>
          </w:p>
        </w:tc>
        <w:tc>
          <w:tcPr>
            <w:tcW w:w="715" w:type="dxa"/>
            <w:vAlign w:val="center"/>
          </w:tcPr>
          <w:p w:rsidR="005E49F7" w:rsidRDefault="005E49F7">
            <w:pPr>
              <w:pStyle w:val="ae"/>
              <w:rPr>
                <w:spacing w:val="0"/>
                <w:sz w:val="21"/>
                <w:szCs w:val="21"/>
              </w:rPr>
            </w:pPr>
            <w:r>
              <w:rPr>
                <w:spacing w:val="0"/>
                <w:sz w:val="21"/>
                <w:szCs w:val="21"/>
              </w:rPr>
              <w:t>4</w:t>
            </w:r>
          </w:p>
        </w:tc>
        <w:tc>
          <w:tcPr>
            <w:tcW w:w="1591" w:type="dxa"/>
            <w:vAlign w:val="center"/>
          </w:tcPr>
          <w:p w:rsidR="005E49F7" w:rsidRDefault="005E49F7">
            <w:pPr>
              <w:spacing w:line="240" w:lineRule="auto"/>
              <w:jc w:val="center"/>
              <w:rPr>
                <w:sz w:val="21"/>
                <w:szCs w:val="21"/>
              </w:rPr>
            </w:pPr>
            <w:r>
              <w:rPr>
                <w:sz w:val="21"/>
                <w:szCs w:val="21"/>
              </w:rPr>
              <w:t>2699541.1735</w:t>
            </w:r>
          </w:p>
        </w:tc>
        <w:tc>
          <w:tcPr>
            <w:tcW w:w="1529" w:type="dxa"/>
            <w:vAlign w:val="center"/>
          </w:tcPr>
          <w:p w:rsidR="005E49F7" w:rsidRDefault="005E49F7">
            <w:pPr>
              <w:spacing w:line="240" w:lineRule="auto"/>
              <w:jc w:val="center"/>
              <w:rPr>
                <w:sz w:val="21"/>
                <w:szCs w:val="21"/>
              </w:rPr>
            </w:pPr>
            <w:r>
              <w:rPr>
                <w:sz w:val="21"/>
                <w:szCs w:val="21"/>
              </w:rPr>
              <w:t>39456362.1722</w:t>
            </w:r>
          </w:p>
        </w:tc>
      </w:tr>
    </w:tbl>
    <w:p w:rsidR="005E49F7" w:rsidRDefault="005E49F7" w:rsidP="005E49F7">
      <w:pPr>
        <w:pStyle w:val="BodyText"/>
        <w:adjustRightInd w:val="0"/>
        <w:snapToGrid w:val="0"/>
        <w:spacing w:line="360" w:lineRule="auto"/>
        <w:ind w:firstLineChars="200" w:firstLine="31680"/>
        <w:jc w:val="center"/>
        <w:rPr>
          <w:rFonts w:eastAsia="黑体"/>
          <w:b/>
          <w:bCs/>
        </w:rPr>
      </w:pPr>
      <w:r>
        <w:rPr>
          <w:rFonts w:cs="宋体" w:hint="eastAsia"/>
          <w:sz w:val="21"/>
          <w:szCs w:val="21"/>
        </w:rPr>
        <w:t>注：采锚地用</w:t>
      </w:r>
      <w:r>
        <w:rPr>
          <w:sz w:val="21"/>
          <w:szCs w:val="21"/>
        </w:rPr>
        <w:t>1954</w:t>
      </w:r>
      <w:r>
        <w:rPr>
          <w:rFonts w:cs="宋体" w:hint="eastAsia"/>
          <w:sz w:val="21"/>
          <w:szCs w:val="21"/>
        </w:rPr>
        <w:t>年北京坐标系，锚地采用</w:t>
      </w:r>
      <w:r>
        <w:rPr>
          <w:sz w:val="21"/>
          <w:szCs w:val="21"/>
        </w:rPr>
        <w:t>1980</w:t>
      </w:r>
      <w:r>
        <w:rPr>
          <w:rFonts w:cs="宋体" w:hint="eastAsia"/>
          <w:sz w:val="21"/>
          <w:szCs w:val="21"/>
        </w:rPr>
        <w:t>年西安坐标系。</w:t>
      </w:r>
      <w:r w:rsidRPr="007E49DF">
        <w:rPr>
          <w:rFonts w:eastAsia="黑体"/>
          <w:noProof/>
        </w:rPr>
        <w:pict>
          <v:shape id="图片 11" o:spid="_x0000_i1035" type="#_x0000_t75" alt="附图16 梅州港区松口作业区锚地规划图" style="width:425.25pt;height:234.75pt;visibility:visible">
            <v:imagedata r:id="rId21" o:title=""/>
          </v:shape>
        </w:pict>
      </w:r>
      <w:r>
        <w:rPr>
          <w:rFonts w:cs="宋体" w:hint="eastAsia"/>
          <w:b/>
          <w:bCs/>
          <w:sz w:val="21"/>
          <w:szCs w:val="21"/>
        </w:rPr>
        <w:t>图</w:t>
      </w:r>
      <w:r>
        <w:rPr>
          <w:b/>
          <w:bCs/>
          <w:sz w:val="21"/>
          <w:szCs w:val="21"/>
        </w:rPr>
        <w:t>1.2-10</w:t>
      </w:r>
      <w:r>
        <w:rPr>
          <w:rFonts w:cs="宋体" w:hint="eastAsia"/>
          <w:b/>
          <w:bCs/>
          <w:sz w:val="21"/>
          <w:szCs w:val="21"/>
        </w:rPr>
        <w:t>梅州港区松口锚地规划位置图</w:t>
      </w:r>
      <w:r w:rsidRPr="007E49DF">
        <w:rPr>
          <w:rFonts w:eastAsia="黑体"/>
          <w:b/>
          <w:bCs/>
          <w:noProof/>
        </w:rPr>
        <w:pict>
          <v:shape id="图片 12" o:spid="_x0000_i1036" type="#_x0000_t75" alt="附图17 大浦港区三河作业区锚地规划图" style="width:425.25pt;height:300.75pt;visibility:visible">
            <v:imagedata r:id="rId22" o:title=""/>
          </v:shape>
        </w:pict>
      </w:r>
    </w:p>
    <w:p w:rsidR="005E49F7" w:rsidRDefault="005E49F7">
      <w:pPr>
        <w:pStyle w:val="Heading5"/>
        <w:spacing w:before="120"/>
      </w:pPr>
      <w:r>
        <w:rPr>
          <w:rFonts w:cs="黑体" w:hint="eastAsia"/>
        </w:rPr>
        <w:t>图</w:t>
      </w:r>
      <w:r>
        <w:t xml:space="preserve">1.2-11 </w:t>
      </w:r>
      <w:r>
        <w:rPr>
          <w:rFonts w:cs="黑体" w:hint="eastAsia"/>
        </w:rPr>
        <w:t>大埔港区三河锚地规划位置图</w:t>
      </w:r>
    </w:p>
    <w:p w:rsidR="005E49F7" w:rsidRDefault="005E49F7">
      <w:pPr>
        <w:pStyle w:val="BodyText"/>
        <w:adjustRightInd w:val="0"/>
        <w:snapToGrid w:val="0"/>
        <w:spacing w:line="240" w:lineRule="auto"/>
        <w:rPr>
          <w:sz w:val="21"/>
          <w:szCs w:val="21"/>
        </w:rPr>
      </w:pPr>
    </w:p>
    <w:p w:rsidR="005E49F7" w:rsidRDefault="005E49F7" w:rsidP="00D23914">
      <w:pPr>
        <w:pStyle w:val="ad"/>
        <w:spacing w:beforeLines="0" w:afterLines="0"/>
        <w:ind w:firstLine="31680"/>
      </w:pPr>
      <w:r>
        <w:rPr>
          <w:rFonts w:cs="黑体" w:hint="eastAsia"/>
        </w:rPr>
        <w:t>（</w:t>
      </w:r>
      <w:r>
        <w:t>5</w:t>
      </w:r>
      <w:r>
        <w:rPr>
          <w:rFonts w:cs="黑体" w:hint="eastAsia"/>
        </w:rPr>
        <w:t>）</w:t>
      </w:r>
      <w:r>
        <w:t xml:space="preserve"> </w:t>
      </w:r>
      <w:r>
        <w:rPr>
          <w:rFonts w:cs="黑体" w:hint="eastAsia"/>
        </w:rPr>
        <w:t>港界</w:t>
      </w:r>
    </w:p>
    <w:p w:rsidR="005E49F7" w:rsidRDefault="005E49F7" w:rsidP="00D23914">
      <w:pPr>
        <w:spacing w:line="360" w:lineRule="auto"/>
        <w:ind w:firstLineChars="200" w:firstLine="31680"/>
        <w:rPr>
          <w:rFonts w:ascii="宋体"/>
          <w:kern w:val="0"/>
        </w:rPr>
      </w:pPr>
      <w:r>
        <w:rPr>
          <w:rFonts w:ascii="宋体" w:hAnsi="宋体" w:cs="宋体" w:hint="eastAsia"/>
          <w:kern w:val="0"/>
        </w:rPr>
        <w:t>为保证梅州港可持续发展，必需明确划分港区与后陆域的界限，保证港口拥有充足的发展用地。水域港界的合理划分有利于有关部门对进出港船舶实施有效的交通管制，以确保船舶航行和锚泊安全。根据目前港口建设情况、今后港口发展需要及城市规划等要求，确定梅州港各港区或作业区港界坐标值见表</w:t>
      </w:r>
      <w:r>
        <w:rPr>
          <w:rFonts w:ascii="宋体" w:hAnsi="宋体" w:cs="宋体"/>
          <w:kern w:val="0"/>
        </w:rPr>
        <w:t>1.2-3</w:t>
      </w:r>
      <w:r>
        <w:rPr>
          <w:rFonts w:ascii="宋体" w:hAnsi="宋体" w:cs="宋体" w:hint="eastAsia"/>
          <w:kern w:val="0"/>
        </w:rPr>
        <w:t>、表</w:t>
      </w:r>
      <w:r>
        <w:rPr>
          <w:rFonts w:ascii="宋体" w:hAnsi="宋体" w:cs="宋体"/>
          <w:kern w:val="0"/>
        </w:rPr>
        <w:t>1.2-4</w:t>
      </w:r>
      <w:r>
        <w:rPr>
          <w:rFonts w:ascii="宋体" w:hAnsi="宋体" w:cs="宋体" w:hint="eastAsia"/>
          <w:kern w:val="0"/>
        </w:rPr>
        <w:t>。</w:t>
      </w:r>
    </w:p>
    <w:p w:rsidR="005E49F7" w:rsidRDefault="005E49F7">
      <w:pPr>
        <w:pStyle w:val="Heading5"/>
        <w:spacing w:before="120"/>
      </w:pPr>
      <w:r>
        <w:rPr>
          <w:rFonts w:cs="黑体" w:hint="eastAsia"/>
          <w:kern w:val="0"/>
        </w:rPr>
        <w:t>表</w:t>
      </w:r>
      <w:r>
        <w:rPr>
          <w:kern w:val="0"/>
        </w:rPr>
        <w:t xml:space="preserve">1.2-3  </w:t>
      </w:r>
      <w:r>
        <w:rPr>
          <w:rFonts w:cs="黑体" w:hint="eastAsia"/>
          <w:kern w:val="0"/>
        </w:rPr>
        <w:t>梅州港水域港界控制点坐标表</w:t>
      </w:r>
    </w:p>
    <w:tbl>
      <w:tblPr>
        <w:tblW w:w="8721" w:type="dxa"/>
        <w:tblInd w:w="-106" w:type="dxa"/>
        <w:tblLayout w:type="fixed"/>
        <w:tblLook w:val="00A0"/>
      </w:tblPr>
      <w:tblGrid>
        <w:gridCol w:w="1934"/>
        <w:gridCol w:w="2009"/>
        <w:gridCol w:w="2313"/>
        <w:gridCol w:w="2465"/>
      </w:tblGrid>
      <w:tr w:rsidR="005E49F7">
        <w:trPr>
          <w:trHeight w:val="397"/>
        </w:trPr>
        <w:tc>
          <w:tcPr>
            <w:tcW w:w="1934" w:type="dxa"/>
            <w:vMerge w:val="restart"/>
            <w:tcBorders>
              <w:top w:val="single" w:sz="4" w:space="0" w:color="auto"/>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hint="eastAsia"/>
                <w:kern w:val="0"/>
                <w:sz w:val="21"/>
                <w:szCs w:val="21"/>
              </w:rPr>
              <w:t>作业区名称</w:t>
            </w:r>
          </w:p>
        </w:tc>
        <w:tc>
          <w:tcPr>
            <w:tcW w:w="2009" w:type="dxa"/>
            <w:vMerge w:val="restart"/>
            <w:tcBorders>
              <w:top w:val="single" w:sz="4" w:space="0" w:color="auto"/>
              <w:left w:val="single" w:sz="4" w:space="0" w:color="auto"/>
              <w:right w:val="single" w:sz="4" w:space="0" w:color="auto"/>
            </w:tcBorders>
            <w:vAlign w:val="center"/>
          </w:tcPr>
          <w:p w:rsidR="005E49F7" w:rsidRDefault="005E49F7">
            <w:pPr>
              <w:spacing w:line="240" w:lineRule="auto"/>
              <w:jc w:val="center"/>
              <w:rPr>
                <w:rFonts w:ascii="宋体"/>
                <w:kern w:val="0"/>
                <w:sz w:val="21"/>
                <w:szCs w:val="21"/>
              </w:rPr>
            </w:pPr>
            <w:r>
              <w:rPr>
                <w:rFonts w:ascii="宋体" w:hAnsi="宋体" w:cs="宋体" w:hint="eastAsia"/>
                <w:kern w:val="0"/>
                <w:sz w:val="21"/>
                <w:szCs w:val="21"/>
              </w:rPr>
              <w:t>控制点编号</w:t>
            </w:r>
          </w:p>
        </w:tc>
        <w:tc>
          <w:tcPr>
            <w:tcW w:w="4778" w:type="dxa"/>
            <w:gridSpan w:val="2"/>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hint="eastAsia"/>
                <w:kern w:val="0"/>
                <w:sz w:val="21"/>
                <w:szCs w:val="21"/>
              </w:rPr>
              <w:t>控制点坐标</w:t>
            </w:r>
          </w:p>
        </w:tc>
      </w:tr>
      <w:tr w:rsidR="005E49F7">
        <w:trPr>
          <w:trHeight w:val="397"/>
        </w:trPr>
        <w:tc>
          <w:tcPr>
            <w:tcW w:w="1934" w:type="dxa"/>
            <w:vMerge/>
            <w:tcBorders>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vMerge/>
            <w:tcBorders>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313"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X</w:t>
            </w:r>
          </w:p>
        </w:tc>
        <w:tc>
          <w:tcPr>
            <w:tcW w:w="2465"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Y</w:t>
            </w:r>
          </w:p>
        </w:tc>
      </w:tr>
      <w:tr w:rsidR="005E49F7">
        <w:trPr>
          <w:trHeight w:val="397"/>
        </w:trPr>
        <w:tc>
          <w:tcPr>
            <w:tcW w:w="1934" w:type="dxa"/>
            <w:vMerge w:val="restart"/>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hint="eastAsia"/>
                <w:kern w:val="0"/>
                <w:sz w:val="21"/>
                <w:szCs w:val="21"/>
              </w:rPr>
              <w:t>松口作业区</w:t>
            </w: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S1</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2711486.8240</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39441298.5035</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S2</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2711500.0557</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39441577.2724</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S3</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2711412.1134</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39441926.4047</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S4</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2711400.4165</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39442178.4548</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S5</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2711486.1832</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39441839.2713</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S6</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2711451.9168</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39442093.2813</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S7</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2711598.7416</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39442470.3058</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S8</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2711598.3780</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39442637.8057</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S9</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2711347.0321</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39443225.0456</w:t>
            </w:r>
          </w:p>
        </w:tc>
      </w:tr>
      <w:tr w:rsidR="005E49F7">
        <w:trPr>
          <w:trHeight w:val="397"/>
        </w:trPr>
        <w:tc>
          <w:tcPr>
            <w:tcW w:w="1934" w:type="dxa"/>
            <w:vMerge/>
            <w:tcBorders>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S10</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2711462.9732</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39443318.7740</w:t>
            </w:r>
          </w:p>
        </w:tc>
      </w:tr>
      <w:tr w:rsidR="005E49F7">
        <w:trPr>
          <w:trHeight w:val="397"/>
        </w:trPr>
        <w:tc>
          <w:tcPr>
            <w:tcW w:w="1934" w:type="dxa"/>
            <w:vMerge w:val="restart"/>
            <w:tcBorders>
              <w:top w:val="nil"/>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hint="eastAsia"/>
                <w:kern w:val="0"/>
                <w:sz w:val="21"/>
                <w:szCs w:val="21"/>
              </w:rPr>
              <w:t>茶阳作业区</w:t>
            </w: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S1</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2712129.0351</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39465190.1074</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S2</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2711756.9638</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39465177.1913</w:t>
            </w:r>
          </w:p>
        </w:tc>
      </w:tr>
      <w:tr w:rsidR="005E49F7">
        <w:trPr>
          <w:trHeight w:val="397"/>
        </w:trPr>
        <w:tc>
          <w:tcPr>
            <w:tcW w:w="1934" w:type="dxa"/>
            <w:vMerge/>
            <w:tcBorders>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S3</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2711476.5439</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39465068.5709</w:t>
            </w:r>
          </w:p>
        </w:tc>
      </w:tr>
      <w:tr w:rsidR="005E49F7">
        <w:trPr>
          <w:trHeight w:val="397"/>
        </w:trPr>
        <w:tc>
          <w:tcPr>
            <w:tcW w:w="1934" w:type="dxa"/>
            <w:vMerge w:val="restart"/>
            <w:tcBorders>
              <w:top w:val="nil"/>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hint="eastAsia"/>
                <w:kern w:val="0"/>
                <w:sz w:val="21"/>
                <w:szCs w:val="21"/>
              </w:rPr>
              <w:t>三河作业区</w:t>
            </w: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S1</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2700494.6547</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39455931.9172</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S2</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2700145.2250</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39456542.0620</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S3</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2700509.3548</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39456811.2471</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S4</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2700540.9772</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39457045.4613</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S5</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2700993.6335</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39457375.3822</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S6</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2701249.3198</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39457616.2732</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S7</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2700317.1889</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39456031.6184</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S8</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2700283.8614</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39456176.9474</w:t>
            </w:r>
          </w:p>
        </w:tc>
      </w:tr>
      <w:tr w:rsidR="005E49F7">
        <w:trPr>
          <w:trHeight w:val="397"/>
        </w:trPr>
        <w:tc>
          <w:tcPr>
            <w:tcW w:w="1934"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S9</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2700094.0206</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39456660.2663</w:t>
            </w:r>
          </w:p>
        </w:tc>
      </w:tr>
      <w:tr w:rsidR="005E49F7">
        <w:trPr>
          <w:trHeight w:val="397"/>
        </w:trPr>
        <w:tc>
          <w:tcPr>
            <w:tcW w:w="1934" w:type="dxa"/>
            <w:vMerge/>
            <w:tcBorders>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009"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S10</w:t>
            </w:r>
          </w:p>
        </w:tc>
        <w:tc>
          <w:tcPr>
            <w:tcW w:w="2313"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2699967.4560</w:t>
            </w:r>
          </w:p>
        </w:tc>
        <w:tc>
          <w:tcPr>
            <w:tcW w:w="2465"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39456581.4477</w:t>
            </w:r>
          </w:p>
        </w:tc>
      </w:tr>
    </w:tbl>
    <w:p w:rsidR="005E49F7" w:rsidRDefault="005E49F7" w:rsidP="005E49F7">
      <w:pPr>
        <w:spacing w:line="360" w:lineRule="auto"/>
        <w:ind w:firstLineChars="200" w:firstLine="31680"/>
        <w:rPr>
          <w:rFonts w:ascii="宋体"/>
          <w:kern w:val="0"/>
        </w:rPr>
      </w:pPr>
    </w:p>
    <w:p w:rsidR="005E49F7" w:rsidRDefault="005E49F7">
      <w:pPr>
        <w:pStyle w:val="Heading5"/>
        <w:spacing w:before="120"/>
        <w:rPr>
          <w:kern w:val="0"/>
        </w:rPr>
      </w:pPr>
      <w:r>
        <w:rPr>
          <w:rFonts w:cs="黑体" w:hint="eastAsia"/>
          <w:kern w:val="0"/>
        </w:rPr>
        <w:t>表</w:t>
      </w:r>
      <w:r>
        <w:rPr>
          <w:kern w:val="0"/>
        </w:rPr>
        <w:t xml:space="preserve">1.2-4   </w:t>
      </w:r>
      <w:r>
        <w:rPr>
          <w:rFonts w:cs="黑体" w:hint="eastAsia"/>
          <w:kern w:val="0"/>
        </w:rPr>
        <w:t>梅州港陆域港界控制点坐标表</w:t>
      </w:r>
    </w:p>
    <w:tbl>
      <w:tblPr>
        <w:tblW w:w="8653" w:type="dxa"/>
        <w:jc w:val="center"/>
        <w:tblLayout w:type="fixed"/>
        <w:tblLook w:val="00A0"/>
      </w:tblPr>
      <w:tblGrid>
        <w:gridCol w:w="1546"/>
        <w:gridCol w:w="1758"/>
        <w:gridCol w:w="2482"/>
        <w:gridCol w:w="2867"/>
      </w:tblGrid>
      <w:tr w:rsidR="005E49F7">
        <w:trPr>
          <w:trHeight w:hRule="exact" w:val="328"/>
          <w:jc w:val="center"/>
        </w:trPr>
        <w:tc>
          <w:tcPr>
            <w:tcW w:w="1546" w:type="dxa"/>
            <w:vMerge w:val="restart"/>
            <w:tcBorders>
              <w:top w:val="single" w:sz="4" w:space="0" w:color="auto"/>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hint="eastAsia"/>
                <w:kern w:val="0"/>
                <w:sz w:val="21"/>
                <w:szCs w:val="21"/>
              </w:rPr>
              <w:t>作业区名称</w:t>
            </w:r>
          </w:p>
        </w:tc>
        <w:tc>
          <w:tcPr>
            <w:tcW w:w="1758" w:type="dxa"/>
            <w:vMerge w:val="restart"/>
            <w:tcBorders>
              <w:top w:val="single" w:sz="4" w:space="0" w:color="auto"/>
              <w:left w:val="single" w:sz="4" w:space="0" w:color="auto"/>
              <w:right w:val="single" w:sz="4" w:space="0" w:color="auto"/>
            </w:tcBorders>
            <w:vAlign w:val="center"/>
          </w:tcPr>
          <w:p w:rsidR="005E49F7" w:rsidRDefault="005E49F7">
            <w:pPr>
              <w:spacing w:line="240" w:lineRule="auto"/>
              <w:jc w:val="center"/>
              <w:rPr>
                <w:rFonts w:ascii="宋体"/>
                <w:kern w:val="0"/>
                <w:sz w:val="21"/>
                <w:szCs w:val="21"/>
              </w:rPr>
            </w:pPr>
            <w:r>
              <w:rPr>
                <w:rFonts w:ascii="宋体" w:hAnsi="宋体" w:cs="宋体" w:hint="eastAsia"/>
                <w:kern w:val="0"/>
                <w:sz w:val="21"/>
                <w:szCs w:val="21"/>
              </w:rPr>
              <w:t>控制点编号</w:t>
            </w:r>
          </w:p>
        </w:tc>
        <w:tc>
          <w:tcPr>
            <w:tcW w:w="5349" w:type="dxa"/>
            <w:gridSpan w:val="2"/>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hint="eastAsia"/>
                <w:kern w:val="0"/>
                <w:sz w:val="21"/>
                <w:szCs w:val="21"/>
              </w:rPr>
              <w:t>控制点坐标</w:t>
            </w:r>
          </w:p>
        </w:tc>
      </w:tr>
      <w:tr w:rsidR="005E49F7">
        <w:trPr>
          <w:trHeight w:hRule="exact" w:val="328"/>
          <w:jc w:val="center"/>
        </w:trPr>
        <w:tc>
          <w:tcPr>
            <w:tcW w:w="1546" w:type="dxa"/>
            <w:vMerge/>
            <w:tcBorders>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vMerge/>
            <w:tcBorders>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2482"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X</w:t>
            </w:r>
          </w:p>
        </w:tc>
        <w:tc>
          <w:tcPr>
            <w:tcW w:w="2867"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Y</w:t>
            </w:r>
          </w:p>
        </w:tc>
      </w:tr>
      <w:tr w:rsidR="005E49F7">
        <w:trPr>
          <w:trHeight w:hRule="exact" w:val="328"/>
          <w:jc w:val="center"/>
        </w:trPr>
        <w:tc>
          <w:tcPr>
            <w:tcW w:w="1546" w:type="dxa"/>
            <w:vMerge w:val="restart"/>
            <w:tcBorders>
              <w:left w:val="single" w:sz="4" w:space="0" w:color="auto"/>
              <w:right w:val="single" w:sz="4" w:space="0" w:color="auto"/>
            </w:tcBorders>
            <w:vAlign w:val="center"/>
          </w:tcPr>
          <w:p w:rsidR="005E49F7" w:rsidRDefault="005E49F7">
            <w:pPr>
              <w:spacing w:line="240" w:lineRule="auto"/>
              <w:jc w:val="center"/>
              <w:rPr>
                <w:rFonts w:ascii="宋体"/>
                <w:kern w:val="0"/>
                <w:sz w:val="21"/>
                <w:szCs w:val="21"/>
              </w:rPr>
            </w:pPr>
            <w:r>
              <w:rPr>
                <w:rFonts w:ascii="宋体" w:hAnsi="宋体" w:cs="宋体" w:hint="eastAsia"/>
                <w:kern w:val="0"/>
                <w:sz w:val="21"/>
                <w:szCs w:val="21"/>
              </w:rPr>
              <w:t>松口作业区</w:t>
            </w:r>
          </w:p>
        </w:tc>
        <w:tc>
          <w:tcPr>
            <w:tcW w:w="1758" w:type="dxa"/>
            <w:tcBorders>
              <w:top w:val="single" w:sz="4" w:space="0" w:color="auto"/>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w:t>
            </w:r>
          </w:p>
        </w:tc>
        <w:tc>
          <w:tcPr>
            <w:tcW w:w="2482" w:type="dxa"/>
            <w:tcBorders>
              <w:top w:val="single" w:sz="4" w:space="0" w:color="auto"/>
              <w:left w:val="nil"/>
              <w:bottom w:val="single" w:sz="4" w:space="0" w:color="auto"/>
              <w:right w:val="single" w:sz="4" w:space="0" w:color="auto"/>
            </w:tcBorders>
            <w:vAlign w:val="center"/>
          </w:tcPr>
          <w:p w:rsidR="005E49F7" w:rsidRDefault="005E49F7">
            <w:pPr>
              <w:autoSpaceDE w:val="0"/>
              <w:autoSpaceDN w:val="0"/>
              <w:adjustRightInd w:val="0"/>
              <w:spacing w:line="240" w:lineRule="auto"/>
              <w:jc w:val="center"/>
              <w:rPr>
                <w:rFonts w:ascii="宋体"/>
                <w:kern w:val="0"/>
                <w:sz w:val="21"/>
                <w:szCs w:val="21"/>
              </w:rPr>
            </w:pPr>
            <w:r>
              <w:rPr>
                <w:rFonts w:ascii="宋体" w:hAnsi="宋体" w:cs="宋体"/>
                <w:kern w:val="0"/>
                <w:sz w:val="21"/>
                <w:szCs w:val="21"/>
              </w:rPr>
              <w:t>2711405.8615</w:t>
            </w:r>
          </w:p>
          <w:p w:rsidR="005E49F7" w:rsidRDefault="005E49F7">
            <w:pPr>
              <w:widowControl/>
              <w:spacing w:line="240" w:lineRule="auto"/>
              <w:jc w:val="center"/>
              <w:rPr>
                <w:rFonts w:ascii="宋体"/>
                <w:kern w:val="0"/>
                <w:sz w:val="21"/>
                <w:szCs w:val="21"/>
              </w:rPr>
            </w:pPr>
          </w:p>
        </w:tc>
        <w:tc>
          <w:tcPr>
            <w:tcW w:w="2867" w:type="dxa"/>
            <w:tcBorders>
              <w:top w:val="single" w:sz="4" w:space="0" w:color="auto"/>
              <w:left w:val="nil"/>
              <w:bottom w:val="single" w:sz="4" w:space="0" w:color="auto"/>
              <w:right w:val="single" w:sz="4" w:space="0" w:color="auto"/>
            </w:tcBorders>
            <w:vAlign w:val="center"/>
          </w:tcPr>
          <w:p w:rsidR="005E49F7" w:rsidRDefault="005E49F7">
            <w:pPr>
              <w:autoSpaceDE w:val="0"/>
              <w:autoSpaceDN w:val="0"/>
              <w:adjustRightInd w:val="0"/>
              <w:spacing w:line="240" w:lineRule="auto"/>
              <w:jc w:val="center"/>
              <w:rPr>
                <w:rFonts w:ascii="宋体"/>
                <w:kern w:val="0"/>
                <w:sz w:val="21"/>
                <w:szCs w:val="21"/>
              </w:rPr>
            </w:pPr>
            <w:r>
              <w:rPr>
                <w:rFonts w:ascii="宋体" w:hAnsi="宋体" w:cs="宋体"/>
                <w:kern w:val="0"/>
                <w:sz w:val="21"/>
                <w:szCs w:val="21"/>
              </w:rPr>
              <w:t>39441387.4805</w:t>
            </w:r>
          </w:p>
          <w:p w:rsidR="005E49F7" w:rsidRDefault="005E49F7">
            <w:pPr>
              <w:widowControl/>
              <w:spacing w:line="240" w:lineRule="auto"/>
              <w:jc w:val="center"/>
              <w:rPr>
                <w:rFonts w:ascii="宋体"/>
                <w:kern w:val="0"/>
                <w:sz w:val="21"/>
                <w:szCs w:val="21"/>
              </w:rPr>
            </w:pP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B2</w:t>
            </w:r>
          </w:p>
        </w:tc>
        <w:tc>
          <w:tcPr>
            <w:tcW w:w="2482" w:type="dxa"/>
            <w:tcBorders>
              <w:top w:val="single" w:sz="4" w:space="0" w:color="auto"/>
              <w:left w:val="nil"/>
              <w:bottom w:val="single" w:sz="4" w:space="0" w:color="auto"/>
              <w:right w:val="single" w:sz="4" w:space="0" w:color="auto"/>
            </w:tcBorders>
            <w:vAlign w:val="center"/>
          </w:tcPr>
          <w:p w:rsidR="005E49F7" w:rsidRDefault="005E49F7">
            <w:pPr>
              <w:autoSpaceDE w:val="0"/>
              <w:autoSpaceDN w:val="0"/>
              <w:adjustRightInd w:val="0"/>
              <w:spacing w:line="240" w:lineRule="auto"/>
              <w:jc w:val="center"/>
              <w:rPr>
                <w:rFonts w:ascii="宋体"/>
                <w:kern w:val="0"/>
                <w:sz w:val="21"/>
                <w:szCs w:val="21"/>
              </w:rPr>
            </w:pPr>
            <w:r>
              <w:rPr>
                <w:rFonts w:ascii="宋体" w:hAnsi="宋体" w:cs="宋体"/>
                <w:kern w:val="0"/>
                <w:sz w:val="21"/>
                <w:szCs w:val="21"/>
              </w:rPr>
              <w:t>2711328.8094</w:t>
            </w:r>
          </w:p>
          <w:p w:rsidR="005E49F7" w:rsidRDefault="005E49F7">
            <w:pPr>
              <w:widowControl/>
              <w:spacing w:line="240" w:lineRule="auto"/>
              <w:jc w:val="center"/>
              <w:rPr>
                <w:rFonts w:ascii="宋体"/>
                <w:kern w:val="0"/>
                <w:sz w:val="21"/>
                <w:szCs w:val="21"/>
              </w:rPr>
            </w:pPr>
          </w:p>
        </w:tc>
        <w:tc>
          <w:tcPr>
            <w:tcW w:w="2867" w:type="dxa"/>
            <w:tcBorders>
              <w:top w:val="single" w:sz="4" w:space="0" w:color="auto"/>
              <w:left w:val="nil"/>
              <w:bottom w:val="single" w:sz="4" w:space="0" w:color="auto"/>
              <w:right w:val="single" w:sz="4" w:space="0" w:color="auto"/>
            </w:tcBorders>
            <w:vAlign w:val="center"/>
          </w:tcPr>
          <w:p w:rsidR="005E49F7" w:rsidRDefault="005E49F7">
            <w:pPr>
              <w:autoSpaceDE w:val="0"/>
              <w:autoSpaceDN w:val="0"/>
              <w:adjustRightInd w:val="0"/>
              <w:spacing w:line="240" w:lineRule="auto"/>
              <w:jc w:val="center"/>
              <w:rPr>
                <w:rFonts w:ascii="宋体"/>
                <w:kern w:val="0"/>
                <w:sz w:val="21"/>
                <w:szCs w:val="21"/>
              </w:rPr>
            </w:pPr>
            <w:r>
              <w:rPr>
                <w:rFonts w:ascii="宋体" w:hAnsi="宋体" w:cs="宋体"/>
                <w:kern w:val="0"/>
                <w:sz w:val="21"/>
                <w:szCs w:val="21"/>
              </w:rPr>
              <w:t>39441391.0577</w:t>
            </w:r>
          </w:p>
          <w:p w:rsidR="005E49F7" w:rsidRDefault="005E49F7">
            <w:pPr>
              <w:widowControl/>
              <w:spacing w:line="240" w:lineRule="auto"/>
              <w:jc w:val="center"/>
              <w:rPr>
                <w:rFonts w:ascii="宋体"/>
                <w:kern w:val="0"/>
                <w:sz w:val="21"/>
                <w:szCs w:val="21"/>
              </w:rPr>
            </w:pP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B3</w:t>
            </w:r>
          </w:p>
        </w:tc>
        <w:tc>
          <w:tcPr>
            <w:tcW w:w="2482" w:type="dxa"/>
            <w:tcBorders>
              <w:top w:val="single" w:sz="4" w:space="0" w:color="auto"/>
              <w:left w:val="nil"/>
              <w:bottom w:val="single" w:sz="4" w:space="0" w:color="auto"/>
              <w:right w:val="single" w:sz="4" w:space="0" w:color="auto"/>
            </w:tcBorders>
            <w:vAlign w:val="center"/>
          </w:tcPr>
          <w:p w:rsidR="005E49F7" w:rsidRDefault="005E49F7">
            <w:pPr>
              <w:autoSpaceDE w:val="0"/>
              <w:autoSpaceDN w:val="0"/>
              <w:adjustRightInd w:val="0"/>
              <w:spacing w:line="240" w:lineRule="auto"/>
              <w:jc w:val="center"/>
              <w:rPr>
                <w:rFonts w:ascii="宋体"/>
                <w:kern w:val="0"/>
                <w:sz w:val="21"/>
                <w:szCs w:val="21"/>
              </w:rPr>
            </w:pPr>
            <w:r>
              <w:rPr>
                <w:rFonts w:ascii="宋体" w:hAnsi="宋体" w:cs="宋体"/>
                <w:kern w:val="0"/>
                <w:sz w:val="21"/>
                <w:szCs w:val="21"/>
              </w:rPr>
              <w:t>2711332.4247</w:t>
            </w:r>
          </w:p>
          <w:p w:rsidR="005E49F7" w:rsidRDefault="005E49F7">
            <w:pPr>
              <w:widowControl/>
              <w:spacing w:line="240" w:lineRule="auto"/>
              <w:jc w:val="center"/>
              <w:rPr>
                <w:rFonts w:ascii="宋体"/>
                <w:kern w:val="0"/>
                <w:sz w:val="21"/>
                <w:szCs w:val="21"/>
              </w:rPr>
            </w:pPr>
          </w:p>
        </w:tc>
        <w:tc>
          <w:tcPr>
            <w:tcW w:w="2867" w:type="dxa"/>
            <w:tcBorders>
              <w:top w:val="single" w:sz="4" w:space="0" w:color="auto"/>
              <w:left w:val="nil"/>
              <w:bottom w:val="single" w:sz="4" w:space="0" w:color="auto"/>
              <w:right w:val="single" w:sz="4" w:space="0" w:color="auto"/>
            </w:tcBorders>
            <w:vAlign w:val="center"/>
          </w:tcPr>
          <w:p w:rsidR="005E49F7" w:rsidRDefault="005E49F7">
            <w:pPr>
              <w:autoSpaceDE w:val="0"/>
              <w:autoSpaceDN w:val="0"/>
              <w:adjustRightInd w:val="0"/>
              <w:spacing w:line="240" w:lineRule="auto"/>
              <w:jc w:val="center"/>
              <w:rPr>
                <w:rFonts w:ascii="宋体"/>
                <w:kern w:val="0"/>
                <w:sz w:val="21"/>
                <w:szCs w:val="21"/>
              </w:rPr>
            </w:pPr>
            <w:r>
              <w:rPr>
                <w:rFonts w:ascii="宋体" w:hAnsi="宋体" w:cs="宋体"/>
                <w:kern w:val="0"/>
                <w:sz w:val="21"/>
                <w:szCs w:val="21"/>
              </w:rPr>
              <w:t>39441469.2543</w:t>
            </w:r>
          </w:p>
          <w:p w:rsidR="005E49F7" w:rsidRDefault="005E49F7">
            <w:pPr>
              <w:widowControl/>
              <w:spacing w:line="240" w:lineRule="auto"/>
              <w:jc w:val="center"/>
              <w:rPr>
                <w:rFonts w:ascii="宋体"/>
                <w:kern w:val="0"/>
                <w:sz w:val="21"/>
                <w:szCs w:val="21"/>
              </w:rPr>
            </w:pP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B4</w:t>
            </w:r>
          </w:p>
        </w:tc>
        <w:tc>
          <w:tcPr>
            <w:tcW w:w="2482" w:type="dxa"/>
            <w:tcBorders>
              <w:top w:val="single" w:sz="4" w:space="0" w:color="auto"/>
              <w:left w:val="nil"/>
              <w:bottom w:val="single" w:sz="4" w:space="0" w:color="auto"/>
              <w:right w:val="single" w:sz="4" w:space="0" w:color="auto"/>
            </w:tcBorders>
            <w:vAlign w:val="center"/>
          </w:tcPr>
          <w:p w:rsidR="005E49F7" w:rsidRDefault="005E49F7">
            <w:pPr>
              <w:autoSpaceDE w:val="0"/>
              <w:autoSpaceDN w:val="0"/>
              <w:adjustRightInd w:val="0"/>
              <w:spacing w:line="240" w:lineRule="auto"/>
              <w:jc w:val="center"/>
              <w:rPr>
                <w:rFonts w:ascii="宋体"/>
                <w:kern w:val="0"/>
                <w:sz w:val="21"/>
                <w:szCs w:val="21"/>
              </w:rPr>
            </w:pPr>
            <w:r>
              <w:rPr>
                <w:rFonts w:ascii="宋体" w:hAnsi="宋体" w:cs="宋体"/>
                <w:kern w:val="0"/>
                <w:sz w:val="21"/>
                <w:szCs w:val="21"/>
              </w:rPr>
              <w:t>2711409.5454</w:t>
            </w:r>
          </w:p>
          <w:p w:rsidR="005E49F7" w:rsidRDefault="005E49F7">
            <w:pPr>
              <w:widowControl/>
              <w:spacing w:line="240" w:lineRule="auto"/>
              <w:jc w:val="center"/>
              <w:rPr>
                <w:rFonts w:ascii="宋体"/>
                <w:kern w:val="0"/>
                <w:sz w:val="21"/>
                <w:szCs w:val="21"/>
              </w:rPr>
            </w:pPr>
          </w:p>
        </w:tc>
        <w:tc>
          <w:tcPr>
            <w:tcW w:w="2867" w:type="dxa"/>
            <w:tcBorders>
              <w:top w:val="single" w:sz="4" w:space="0" w:color="auto"/>
              <w:left w:val="nil"/>
              <w:bottom w:val="single" w:sz="4" w:space="0" w:color="auto"/>
              <w:right w:val="single" w:sz="4" w:space="0" w:color="auto"/>
            </w:tcBorders>
            <w:vAlign w:val="center"/>
          </w:tcPr>
          <w:p w:rsidR="005E49F7" w:rsidRDefault="005E49F7">
            <w:pPr>
              <w:autoSpaceDE w:val="0"/>
              <w:autoSpaceDN w:val="0"/>
              <w:adjustRightInd w:val="0"/>
              <w:spacing w:line="240" w:lineRule="auto"/>
              <w:jc w:val="center"/>
              <w:rPr>
                <w:rFonts w:ascii="宋体"/>
                <w:kern w:val="0"/>
                <w:sz w:val="21"/>
                <w:szCs w:val="21"/>
              </w:rPr>
            </w:pPr>
            <w:r>
              <w:rPr>
                <w:rFonts w:ascii="宋体" w:hAnsi="宋体" w:cs="宋体"/>
                <w:kern w:val="0"/>
                <w:sz w:val="21"/>
                <w:szCs w:val="21"/>
              </w:rPr>
              <w:t>39441465.5937</w:t>
            </w:r>
          </w:p>
          <w:p w:rsidR="005E49F7" w:rsidRDefault="005E49F7">
            <w:pPr>
              <w:widowControl/>
              <w:spacing w:line="240" w:lineRule="auto"/>
              <w:jc w:val="center"/>
              <w:rPr>
                <w:rFonts w:ascii="宋体"/>
                <w:kern w:val="0"/>
                <w:sz w:val="21"/>
                <w:szCs w:val="21"/>
              </w:rPr>
            </w:pP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B5</w:t>
            </w:r>
          </w:p>
        </w:tc>
        <w:tc>
          <w:tcPr>
            <w:tcW w:w="2482" w:type="dxa"/>
            <w:tcBorders>
              <w:top w:val="single" w:sz="4" w:space="0" w:color="auto"/>
              <w:left w:val="nil"/>
              <w:bottom w:val="single" w:sz="4" w:space="0" w:color="auto"/>
              <w:right w:val="single" w:sz="4" w:space="0" w:color="auto"/>
            </w:tcBorders>
            <w:vAlign w:val="center"/>
          </w:tcPr>
          <w:p w:rsidR="005E49F7" w:rsidRDefault="005E49F7">
            <w:pPr>
              <w:autoSpaceDE w:val="0"/>
              <w:autoSpaceDN w:val="0"/>
              <w:adjustRightInd w:val="0"/>
              <w:spacing w:line="240" w:lineRule="auto"/>
              <w:jc w:val="center"/>
              <w:rPr>
                <w:rFonts w:ascii="宋体"/>
                <w:kern w:val="0"/>
                <w:sz w:val="21"/>
                <w:szCs w:val="21"/>
              </w:rPr>
            </w:pPr>
            <w:r>
              <w:rPr>
                <w:rFonts w:ascii="宋体" w:hAnsi="宋体" w:cs="宋体"/>
                <w:kern w:val="0"/>
                <w:sz w:val="21"/>
                <w:szCs w:val="21"/>
              </w:rPr>
              <w:t>2711178.1019</w:t>
            </w:r>
          </w:p>
          <w:p w:rsidR="005E49F7" w:rsidRDefault="005E49F7">
            <w:pPr>
              <w:widowControl/>
              <w:spacing w:line="240" w:lineRule="auto"/>
              <w:jc w:val="center"/>
              <w:rPr>
                <w:rFonts w:ascii="宋体"/>
                <w:kern w:val="0"/>
                <w:sz w:val="21"/>
                <w:szCs w:val="21"/>
              </w:rPr>
            </w:pPr>
          </w:p>
        </w:tc>
        <w:tc>
          <w:tcPr>
            <w:tcW w:w="2867" w:type="dxa"/>
            <w:tcBorders>
              <w:top w:val="single" w:sz="4" w:space="0" w:color="auto"/>
              <w:left w:val="nil"/>
              <w:bottom w:val="single" w:sz="4" w:space="0" w:color="auto"/>
              <w:right w:val="single" w:sz="4" w:space="0" w:color="auto"/>
            </w:tcBorders>
            <w:vAlign w:val="center"/>
          </w:tcPr>
          <w:p w:rsidR="005E49F7" w:rsidRDefault="005E49F7">
            <w:pPr>
              <w:autoSpaceDE w:val="0"/>
              <w:autoSpaceDN w:val="0"/>
              <w:adjustRightInd w:val="0"/>
              <w:spacing w:line="240" w:lineRule="auto"/>
              <w:jc w:val="center"/>
              <w:rPr>
                <w:rFonts w:ascii="宋体"/>
                <w:kern w:val="0"/>
                <w:sz w:val="21"/>
                <w:szCs w:val="21"/>
              </w:rPr>
            </w:pPr>
            <w:r>
              <w:rPr>
                <w:rFonts w:ascii="宋体" w:hAnsi="宋体" w:cs="宋体"/>
                <w:kern w:val="0"/>
                <w:sz w:val="21"/>
                <w:szCs w:val="21"/>
              </w:rPr>
              <w:t>39441476.5792</w:t>
            </w:r>
          </w:p>
          <w:p w:rsidR="005E49F7" w:rsidRDefault="005E49F7">
            <w:pPr>
              <w:widowControl/>
              <w:spacing w:line="240" w:lineRule="auto"/>
              <w:jc w:val="center"/>
              <w:rPr>
                <w:rFonts w:ascii="宋体"/>
                <w:kern w:val="0"/>
                <w:sz w:val="21"/>
                <w:szCs w:val="21"/>
              </w:rPr>
            </w:pP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B6</w:t>
            </w:r>
          </w:p>
        </w:tc>
        <w:tc>
          <w:tcPr>
            <w:tcW w:w="2482"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2711096.5462</w:t>
            </w:r>
          </w:p>
        </w:tc>
        <w:tc>
          <w:tcPr>
            <w:tcW w:w="2867"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39442128.0558</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B7</w:t>
            </w:r>
          </w:p>
        </w:tc>
        <w:tc>
          <w:tcPr>
            <w:tcW w:w="2482"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2711314.5087</w:t>
            </w:r>
          </w:p>
        </w:tc>
        <w:tc>
          <w:tcPr>
            <w:tcW w:w="2867"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39442096.5164</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B8</w:t>
            </w:r>
          </w:p>
        </w:tc>
        <w:tc>
          <w:tcPr>
            <w:tcW w:w="2482"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2711557.2925</w:t>
            </w:r>
          </w:p>
        </w:tc>
        <w:tc>
          <w:tcPr>
            <w:tcW w:w="2867"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39441932.6377</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B9</w:t>
            </w:r>
          </w:p>
        </w:tc>
        <w:tc>
          <w:tcPr>
            <w:tcW w:w="2482"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2711695.6964</w:t>
            </w:r>
          </w:p>
        </w:tc>
        <w:tc>
          <w:tcPr>
            <w:tcW w:w="2867"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39441939.9365</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B10</w:t>
            </w:r>
          </w:p>
        </w:tc>
        <w:tc>
          <w:tcPr>
            <w:tcW w:w="2482"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2711694.7893</w:t>
            </w:r>
          </w:p>
        </w:tc>
        <w:tc>
          <w:tcPr>
            <w:tcW w:w="2867"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39442031.3635</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B11</w:t>
            </w:r>
          </w:p>
        </w:tc>
        <w:tc>
          <w:tcPr>
            <w:tcW w:w="2482"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2711905.5658</w:t>
            </w:r>
          </w:p>
        </w:tc>
        <w:tc>
          <w:tcPr>
            <w:tcW w:w="2867"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39442521.0482</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B12</w:t>
            </w:r>
          </w:p>
        </w:tc>
        <w:tc>
          <w:tcPr>
            <w:tcW w:w="2482"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2711683.6616</w:t>
            </w:r>
          </w:p>
        </w:tc>
        <w:tc>
          <w:tcPr>
            <w:tcW w:w="2867"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39442552.8915</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B13</w:t>
            </w:r>
          </w:p>
        </w:tc>
        <w:tc>
          <w:tcPr>
            <w:tcW w:w="2482"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2711413.1965</w:t>
            </w:r>
          </w:p>
        </w:tc>
        <w:tc>
          <w:tcPr>
            <w:tcW w:w="2867"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39443199.5804</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B14</w:t>
            </w:r>
          </w:p>
        </w:tc>
        <w:tc>
          <w:tcPr>
            <w:tcW w:w="2482"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2711457.6108</w:t>
            </w:r>
          </w:p>
        </w:tc>
        <w:tc>
          <w:tcPr>
            <w:tcW w:w="2867"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39443150.4117</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B15</w:t>
            </w:r>
          </w:p>
        </w:tc>
        <w:tc>
          <w:tcPr>
            <w:tcW w:w="2482"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2711518.1198</w:t>
            </w:r>
          </w:p>
        </w:tc>
        <w:tc>
          <w:tcPr>
            <w:tcW w:w="2867"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39443194.2751</w:t>
            </w:r>
          </w:p>
        </w:tc>
      </w:tr>
      <w:tr w:rsidR="005E49F7">
        <w:trPr>
          <w:trHeight w:hRule="exact" w:val="328"/>
          <w:jc w:val="center"/>
        </w:trPr>
        <w:tc>
          <w:tcPr>
            <w:tcW w:w="1546" w:type="dxa"/>
            <w:vMerge/>
            <w:tcBorders>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single" w:sz="4" w:space="0" w:color="auto"/>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B16</w:t>
            </w:r>
          </w:p>
        </w:tc>
        <w:tc>
          <w:tcPr>
            <w:tcW w:w="2482"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2711474.0044</w:t>
            </w:r>
          </w:p>
        </w:tc>
        <w:tc>
          <w:tcPr>
            <w:tcW w:w="2867" w:type="dxa"/>
            <w:tcBorders>
              <w:top w:val="single" w:sz="4" w:space="0" w:color="auto"/>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39443248.7499</w:t>
            </w:r>
          </w:p>
        </w:tc>
      </w:tr>
      <w:tr w:rsidR="005E49F7">
        <w:trPr>
          <w:trHeight w:hRule="exact" w:val="328"/>
          <w:jc w:val="center"/>
        </w:trPr>
        <w:tc>
          <w:tcPr>
            <w:tcW w:w="1546" w:type="dxa"/>
            <w:vMerge w:val="restart"/>
            <w:tcBorders>
              <w:top w:val="nil"/>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hint="eastAsia"/>
                <w:kern w:val="0"/>
                <w:sz w:val="21"/>
                <w:szCs w:val="21"/>
              </w:rPr>
              <w:t>茶阳作业区</w:t>
            </w: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2712010.4702</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39465300.7167</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B2</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2712005.2340</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39465437.8221</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B3</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2711730.2383</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39465389.0827</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B4</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2711517.5020</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39465280.1082</w:t>
            </w:r>
          </w:p>
        </w:tc>
      </w:tr>
      <w:tr w:rsidR="005E49F7">
        <w:trPr>
          <w:trHeight w:hRule="exact" w:val="328"/>
          <w:jc w:val="center"/>
        </w:trPr>
        <w:tc>
          <w:tcPr>
            <w:tcW w:w="1546" w:type="dxa"/>
            <w:vMerge/>
            <w:tcBorders>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B5</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2711542.0138</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39465216.8276</w:t>
            </w:r>
          </w:p>
        </w:tc>
      </w:tr>
      <w:tr w:rsidR="005E49F7">
        <w:trPr>
          <w:trHeight w:hRule="exact" w:val="328"/>
          <w:jc w:val="center"/>
        </w:trPr>
        <w:tc>
          <w:tcPr>
            <w:tcW w:w="1546" w:type="dxa"/>
            <w:vMerge w:val="restart"/>
            <w:tcBorders>
              <w:top w:val="nil"/>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hint="eastAsia"/>
                <w:kern w:val="0"/>
                <w:sz w:val="21"/>
                <w:szCs w:val="21"/>
              </w:rPr>
              <w:t>三河作业区</w:t>
            </w: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2700548.0116</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39456092.3459</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B2</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2700695.1973</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39456142.4100</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B3</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2700514.9188</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39456477.2497</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B4</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2700546.7948</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39456574.3648</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B5</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2700483.7888</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39456641.6250</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B6</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2700541.9152</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39457204.0316</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B7</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2700399.3297</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39457372.3433</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B8</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2700871.9146</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39457841.6519</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B9</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2701077.9931</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39457621.3778</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B10</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2700249.4180</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39456052.4467</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B11</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2700183.1916</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39456037.2543</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B12</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2700166.4776</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39456110.1168</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B13</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2700231.9394</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39456128.6677</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B14</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2700031.4677</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39456693.6498</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B15</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2699992.2936</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39456749.6128</w:t>
            </w:r>
          </w:p>
        </w:tc>
      </w:tr>
      <w:tr w:rsidR="005E49F7">
        <w:trPr>
          <w:trHeight w:hRule="exact" w:val="328"/>
          <w:jc w:val="center"/>
        </w:trPr>
        <w:tc>
          <w:tcPr>
            <w:tcW w:w="1546" w:type="dxa"/>
            <w:vMerge/>
            <w:tcBorders>
              <w:left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B16</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2699928.9262</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39456710.3688</w:t>
            </w:r>
          </w:p>
        </w:tc>
      </w:tr>
      <w:tr w:rsidR="005E49F7">
        <w:trPr>
          <w:trHeight w:hRule="exact" w:val="328"/>
          <w:jc w:val="center"/>
        </w:trPr>
        <w:tc>
          <w:tcPr>
            <w:tcW w:w="1546" w:type="dxa"/>
            <w:vMerge/>
            <w:tcBorders>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p>
        </w:tc>
        <w:tc>
          <w:tcPr>
            <w:tcW w:w="1758" w:type="dxa"/>
            <w:tcBorders>
              <w:top w:val="nil"/>
              <w:left w:val="single" w:sz="4" w:space="0" w:color="auto"/>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B17</w:t>
            </w:r>
          </w:p>
        </w:tc>
        <w:tc>
          <w:tcPr>
            <w:tcW w:w="2482"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2699965.0894</w:t>
            </w:r>
          </w:p>
        </w:tc>
        <w:tc>
          <w:tcPr>
            <w:tcW w:w="2867" w:type="dxa"/>
            <w:tcBorders>
              <w:top w:val="nil"/>
              <w:left w:val="nil"/>
              <w:bottom w:val="single" w:sz="4" w:space="0" w:color="auto"/>
              <w:right w:val="single" w:sz="4" w:space="0" w:color="auto"/>
            </w:tcBorders>
            <w:vAlign w:val="center"/>
          </w:tcPr>
          <w:p w:rsidR="005E49F7" w:rsidRDefault="005E49F7">
            <w:pPr>
              <w:widowControl/>
              <w:spacing w:line="240" w:lineRule="auto"/>
              <w:jc w:val="center"/>
              <w:rPr>
                <w:rFonts w:ascii="宋体"/>
                <w:kern w:val="0"/>
                <w:sz w:val="21"/>
                <w:szCs w:val="21"/>
              </w:rPr>
            </w:pPr>
            <w:r>
              <w:rPr>
                <w:rFonts w:ascii="宋体" w:hAnsi="宋体" w:cs="宋体"/>
                <w:kern w:val="0"/>
                <w:sz w:val="21"/>
                <w:szCs w:val="21"/>
              </w:rPr>
              <w:t>39456652.3132</w:t>
            </w:r>
          </w:p>
        </w:tc>
      </w:tr>
    </w:tbl>
    <w:p w:rsidR="005E49F7" w:rsidRDefault="005E49F7">
      <w:pPr>
        <w:pStyle w:val="1"/>
        <w:ind w:firstLineChars="0" w:firstLine="0"/>
      </w:pPr>
    </w:p>
    <w:p w:rsidR="005E49F7" w:rsidRDefault="005E49F7">
      <w:pPr>
        <w:pStyle w:val="3"/>
        <w:spacing w:beforeLines="0" w:afterLines="0"/>
        <w:rPr>
          <w:sz w:val="24"/>
          <w:szCs w:val="24"/>
        </w:rPr>
      </w:pPr>
      <w:r>
        <w:rPr>
          <w:rFonts w:cs="宋体" w:hint="eastAsia"/>
          <w:sz w:val="24"/>
          <w:szCs w:val="24"/>
        </w:rPr>
        <w:t>（</w:t>
      </w:r>
      <w:r>
        <w:rPr>
          <w:sz w:val="24"/>
          <w:szCs w:val="24"/>
        </w:rPr>
        <w:t>6</w:t>
      </w:r>
      <w:r>
        <w:rPr>
          <w:rFonts w:cs="宋体" w:hint="eastAsia"/>
          <w:sz w:val="24"/>
          <w:szCs w:val="24"/>
        </w:rPr>
        <w:t>）港口配套设施规划</w:t>
      </w:r>
    </w:p>
    <w:p w:rsidR="005E49F7" w:rsidRDefault="005E49F7" w:rsidP="00D23914">
      <w:pPr>
        <w:pStyle w:val="ad"/>
        <w:spacing w:beforeLines="0" w:afterLines="0"/>
        <w:ind w:firstLine="31680"/>
      </w:pPr>
      <w:r>
        <w:rPr>
          <w:rFonts w:cs="黑体" w:hint="eastAsia"/>
        </w:rPr>
        <w:t>一、集疏运规划</w:t>
      </w:r>
    </w:p>
    <w:p w:rsidR="005E49F7" w:rsidRDefault="005E49F7" w:rsidP="00D23914">
      <w:pPr>
        <w:pStyle w:val="1"/>
        <w:ind w:firstLine="31680"/>
      </w:pPr>
      <w:r>
        <w:rPr>
          <w:rFonts w:cs="宋体" w:hint="eastAsia"/>
        </w:rPr>
        <w:t>近年来，梅州市按照构建</w:t>
      </w:r>
      <w:r>
        <w:t>“</w:t>
      </w:r>
      <w:r>
        <w:rPr>
          <w:rFonts w:cs="宋体" w:hint="eastAsia"/>
        </w:rPr>
        <w:t>国家公路运输枢纽城市</w:t>
      </w:r>
      <w:r>
        <w:t>”</w:t>
      </w:r>
      <w:r>
        <w:rPr>
          <w:rFonts w:cs="宋体" w:hint="eastAsia"/>
        </w:rPr>
        <w:t>和</w:t>
      </w:r>
      <w:r>
        <w:t>“</w:t>
      </w:r>
      <w:r>
        <w:rPr>
          <w:rFonts w:cs="宋体" w:hint="eastAsia"/>
        </w:rPr>
        <w:t>粤东北交通枢纽</w:t>
      </w:r>
      <w:r>
        <w:t>”</w:t>
      </w:r>
      <w:r>
        <w:rPr>
          <w:rFonts w:cs="宋体" w:hint="eastAsia"/>
        </w:rPr>
        <w:t>的发展定位，以</w:t>
      </w:r>
      <w:r>
        <w:t>“</w:t>
      </w:r>
      <w:r>
        <w:rPr>
          <w:rFonts w:cs="宋体" w:hint="eastAsia"/>
        </w:rPr>
        <w:t>一区两带</w:t>
      </w:r>
      <w:r>
        <w:t>”</w:t>
      </w:r>
      <w:r>
        <w:rPr>
          <w:rFonts w:cs="宋体" w:hint="eastAsia"/>
        </w:rPr>
        <w:t>为核心，以</w:t>
      </w:r>
      <w:r>
        <w:t>“</w:t>
      </w:r>
      <w:r>
        <w:rPr>
          <w:rFonts w:cs="宋体" w:hint="eastAsia"/>
        </w:rPr>
        <w:t>两高一场</w:t>
      </w:r>
      <w:r>
        <w:t>”</w:t>
      </w:r>
      <w:r>
        <w:rPr>
          <w:rFonts w:cs="宋体" w:hint="eastAsia"/>
        </w:rPr>
        <w:t>为重点，加快构建综合交通体系。</w:t>
      </w:r>
    </w:p>
    <w:p w:rsidR="005E49F7" w:rsidRDefault="005E49F7" w:rsidP="00D23914">
      <w:pPr>
        <w:pStyle w:val="1"/>
        <w:ind w:firstLine="31680"/>
      </w:pPr>
      <w:r>
        <w:rPr>
          <w:rFonts w:cs="宋体" w:hint="eastAsia"/>
        </w:rPr>
        <w:t>高速公路：梅州市共有梅揭、梅河（含兴畲支线）、长深高速蕉岭至梅县段（含西环段）、梅龙（含东延线）、济广高速平兴段、汕湛高速五华段共</w:t>
      </w:r>
      <w:r>
        <w:t>6</w:t>
      </w:r>
      <w:r>
        <w:rPr>
          <w:rFonts w:cs="宋体" w:hint="eastAsia"/>
        </w:rPr>
        <w:t>条</w:t>
      </w:r>
      <w:r>
        <w:t>9</w:t>
      </w:r>
      <w:r>
        <w:rPr>
          <w:rFonts w:cs="宋体" w:hint="eastAsia"/>
        </w:rPr>
        <w:t>段高速公路，通车里程达</w:t>
      </w:r>
      <w:r>
        <w:t>482</w:t>
      </w:r>
      <w:r>
        <w:rPr>
          <w:rFonts w:cs="宋体" w:hint="eastAsia"/>
        </w:rPr>
        <w:t>公里，梅州市高速公路密度达</w:t>
      </w:r>
      <w:r>
        <w:t>3.04</w:t>
      </w:r>
      <w:r>
        <w:rPr>
          <w:rFonts w:cs="宋体" w:hint="eastAsia"/>
        </w:rPr>
        <w:t>公里</w:t>
      </w:r>
      <w:r>
        <w:t>/</w:t>
      </w:r>
      <w:r>
        <w:rPr>
          <w:rFonts w:cs="宋体" w:hint="eastAsia"/>
        </w:rPr>
        <w:t>百平方公里，实现</w:t>
      </w:r>
      <w:r>
        <w:t>“</w:t>
      </w:r>
      <w:r>
        <w:rPr>
          <w:rFonts w:cs="宋体" w:hint="eastAsia"/>
        </w:rPr>
        <w:t>县县通高速公路</w:t>
      </w:r>
      <w:r>
        <w:t>”</w:t>
      </w:r>
      <w:r>
        <w:rPr>
          <w:rFonts w:cs="宋体" w:hint="eastAsia"/>
        </w:rPr>
        <w:t>目标</w:t>
      </w:r>
      <w:r>
        <w:t xml:space="preserve"> </w:t>
      </w:r>
      <w:r>
        <w:rPr>
          <w:rFonts w:cs="宋体" w:hint="eastAsia"/>
        </w:rPr>
        <w:t>，打通</w:t>
      </w:r>
      <w:r>
        <w:t>3</w:t>
      </w:r>
      <w:r>
        <w:rPr>
          <w:rFonts w:cs="宋体" w:hint="eastAsia"/>
        </w:rPr>
        <w:t>条通往福建、江西的出省快速通道，打通</w:t>
      </w:r>
      <w:r>
        <w:t>2</w:t>
      </w:r>
      <w:r>
        <w:rPr>
          <w:rFonts w:cs="宋体" w:hint="eastAsia"/>
        </w:rPr>
        <w:t>条连接潮汕平原和珠三角的出市出海快速通道。</w:t>
      </w:r>
      <w:r>
        <w:t>      </w:t>
      </w:r>
    </w:p>
    <w:p w:rsidR="005E49F7" w:rsidRDefault="005E49F7" w:rsidP="00D23914">
      <w:pPr>
        <w:pStyle w:val="1"/>
        <w:ind w:firstLine="31680"/>
      </w:pPr>
      <w:r>
        <w:rPr>
          <w:rFonts w:cs="宋体" w:hint="eastAsia"/>
        </w:rPr>
        <w:t>铁路：现有广梅汕铁路和梅坎铁路</w:t>
      </w:r>
      <w:r>
        <w:t>2</w:t>
      </w:r>
      <w:r>
        <w:rPr>
          <w:rFonts w:cs="宋体" w:hint="eastAsia"/>
        </w:rPr>
        <w:t>条</w:t>
      </w:r>
      <w:r>
        <w:t>276</w:t>
      </w:r>
      <w:r>
        <w:rPr>
          <w:rFonts w:cs="宋体" w:hint="eastAsia"/>
        </w:rPr>
        <w:t>公里，经梅州火车站的客货运输可以直达广州、福州、南昌、长沙、武汉、南宁、昆明等</w:t>
      </w:r>
      <w:r>
        <w:t>7</w:t>
      </w:r>
      <w:r>
        <w:rPr>
          <w:rFonts w:cs="宋体" w:hint="eastAsia"/>
        </w:rPr>
        <w:t>个省会城市和</w:t>
      </w:r>
      <w:r>
        <w:t>40</w:t>
      </w:r>
      <w:r>
        <w:rPr>
          <w:rFonts w:cs="宋体" w:hint="eastAsia"/>
        </w:rPr>
        <w:t>多个市、县（区）。目前，梅州市正加快推进梅州至汕头、龙川至龙岩、鹰潭至梅州、浦城至梅州</w:t>
      </w:r>
      <w:r>
        <w:t>4</w:t>
      </w:r>
      <w:r>
        <w:rPr>
          <w:rFonts w:cs="宋体" w:hint="eastAsia"/>
        </w:rPr>
        <w:t>条高（快）速铁路。</w:t>
      </w:r>
    </w:p>
    <w:p w:rsidR="005E49F7" w:rsidRDefault="005E49F7" w:rsidP="00D23914">
      <w:pPr>
        <w:pStyle w:val="1"/>
        <w:ind w:firstLine="31680"/>
      </w:pPr>
      <w:r>
        <w:rPr>
          <w:rFonts w:cs="宋体" w:hint="eastAsia"/>
        </w:rPr>
        <w:t>机场：梅县机场现有航线</w:t>
      </w:r>
      <w:r>
        <w:t>9</w:t>
      </w:r>
      <w:r>
        <w:rPr>
          <w:rFonts w:cs="宋体" w:hint="eastAsia"/>
        </w:rPr>
        <w:t>条，通航广州、上海、海口、香港、台中、珠海、天津、郑州、雅加达、长沙、西安、北京国内外</w:t>
      </w:r>
      <w:r>
        <w:t>12</w:t>
      </w:r>
      <w:r>
        <w:rPr>
          <w:rFonts w:cs="宋体" w:hint="eastAsia"/>
        </w:rPr>
        <w:t>个城市，每周航班量达到</w:t>
      </w:r>
      <w:r>
        <w:t>41</w:t>
      </w:r>
      <w:r>
        <w:rPr>
          <w:rFonts w:cs="宋体" w:hint="eastAsia"/>
        </w:rPr>
        <w:t>班，</w:t>
      </w:r>
      <w:r>
        <w:t>2015</w:t>
      </w:r>
      <w:r>
        <w:rPr>
          <w:rFonts w:cs="宋体" w:hint="eastAsia"/>
        </w:rPr>
        <w:t>年旅客吞吐量达</w:t>
      </w:r>
      <w:r>
        <w:t>22.65</w:t>
      </w:r>
      <w:r>
        <w:rPr>
          <w:rFonts w:cs="宋体" w:hint="eastAsia"/>
        </w:rPr>
        <w:t>万人次。目前，正争取梅县机场迁建工程纳入省、国家民航总局和国家</w:t>
      </w:r>
      <w:r>
        <w:t>“</w:t>
      </w:r>
      <w:r>
        <w:rPr>
          <w:rFonts w:cs="宋体" w:hint="eastAsia"/>
        </w:rPr>
        <w:t>十三五</w:t>
      </w:r>
      <w:r>
        <w:t>”</w:t>
      </w:r>
      <w:r>
        <w:rPr>
          <w:rFonts w:cs="宋体" w:hint="eastAsia"/>
        </w:rPr>
        <w:t>发展规划。梅县新机场建成后将成为服务覆盖粤、闽、赣三省交界地区的对外开放航空口岸，辐射梅州、梅州、揭阳、赣南、闽西共</w:t>
      </w:r>
      <w:r>
        <w:t>24</w:t>
      </w:r>
      <w:r>
        <w:rPr>
          <w:rFonts w:cs="宋体" w:hint="eastAsia"/>
        </w:rPr>
        <w:t>个县（市、区），辐射人口</w:t>
      </w:r>
      <w:r>
        <w:t>1508</w:t>
      </w:r>
      <w:r>
        <w:rPr>
          <w:rFonts w:cs="宋体" w:hint="eastAsia"/>
        </w:rPr>
        <w:t>万人。</w:t>
      </w:r>
    </w:p>
    <w:p w:rsidR="005E49F7" w:rsidRDefault="005E49F7" w:rsidP="00D23914">
      <w:pPr>
        <w:pStyle w:val="1"/>
        <w:ind w:firstLine="31680"/>
      </w:pPr>
      <w:r>
        <w:rPr>
          <w:rFonts w:cs="宋体" w:hint="eastAsia"/>
        </w:rPr>
        <w:t>航道：梅州市结合梅江韩江生态文化旅游产业带建设，完成梅江、汀江航道整治工程和韩江三河坝至汕头航道整治工程，全市航道总里程</w:t>
      </w:r>
      <w:r>
        <w:t>830</w:t>
      </w:r>
      <w:r>
        <w:rPr>
          <w:rFonts w:cs="宋体" w:hint="eastAsia"/>
        </w:rPr>
        <w:t>公里，其中五级航道</w:t>
      </w:r>
      <w:r>
        <w:t>216</w:t>
      </w:r>
      <w:r>
        <w:rPr>
          <w:rFonts w:cs="宋体" w:hint="eastAsia"/>
        </w:rPr>
        <w:t>公里，五级以下航道</w:t>
      </w:r>
      <w:r>
        <w:t>614</w:t>
      </w:r>
      <w:r>
        <w:rPr>
          <w:rFonts w:cs="宋体" w:hint="eastAsia"/>
        </w:rPr>
        <w:t>公里，形成干支相通的韩江水系</w:t>
      </w:r>
      <w:r>
        <w:t>300</w:t>
      </w:r>
      <w:r>
        <w:rPr>
          <w:rFonts w:cs="宋体" w:hint="eastAsia"/>
        </w:rPr>
        <w:t>吨级内河航道网。</w:t>
      </w:r>
    </w:p>
    <w:p w:rsidR="005E49F7" w:rsidRDefault="005E49F7" w:rsidP="00D23914">
      <w:pPr>
        <w:pStyle w:val="1"/>
        <w:ind w:firstLine="31680"/>
      </w:pPr>
      <w:r>
        <w:rPr>
          <w:rFonts w:cs="宋体" w:hint="eastAsia"/>
        </w:rPr>
        <w:t>普通公路：在抓好</w:t>
      </w:r>
      <w:r>
        <w:t>“</w:t>
      </w:r>
      <w:r>
        <w:rPr>
          <w:rFonts w:cs="宋体" w:hint="eastAsia"/>
        </w:rPr>
        <w:t>两高一场</w:t>
      </w:r>
      <w:r>
        <w:t>”</w:t>
      </w:r>
      <w:r>
        <w:rPr>
          <w:rFonts w:cs="宋体" w:hint="eastAsia"/>
        </w:rPr>
        <w:t>规划建设的同时，梅州市注重发挥综合交通带动经济社会发展的作用，完善产业园区、城市新区、旅游区、工业聚集区之间的道路连接，合理布设出入口，打通</w:t>
      </w:r>
      <w:r>
        <w:t>“</w:t>
      </w:r>
      <w:r>
        <w:rPr>
          <w:rFonts w:cs="宋体" w:hint="eastAsia"/>
        </w:rPr>
        <w:t>最后一公里</w:t>
      </w:r>
      <w:r>
        <w:t>”</w:t>
      </w:r>
      <w:r>
        <w:rPr>
          <w:rFonts w:cs="宋体" w:hint="eastAsia"/>
        </w:rPr>
        <w:t>，使交通网络格局与各地的产业发展和城镇体系布局相适应。至</w:t>
      </w:r>
      <w:r>
        <w:t>2015</w:t>
      </w:r>
      <w:r>
        <w:rPr>
          <w:rFonts w:cs="宋体" w:hint="eastAsia"/>
        </w:rPr>
        <w:t>年底，梅州市公路通车公路里程达</w:t>
      </w:r>
      <w:r>
        <w:t>17705</w:t>
      </w:r>
      <w:r>
        <w:rPr>
          <w:rFonts w:cs="宋体" w:hint="eastAsia"/>
        </w:rPr>
        <w:t>公里，公路密度达</w:t>
      </w:r>
      <w:r>
        <w:t>112</w:t>
      </w:r>
      <w:r>
        <w:rPr>
          <w:rFonts w:cs="宋体" w:hint="eastAsia"/>
        </w:rPr>
        <w:t>公里</w:t>
      </w:r>
      <w:r>
        <w:t>/</w:t>
      </w:r>
      <w:r>
        <w:rPr>
          <w:rFonts w:cs="宋体" w:hint="eastAsia"/>
        </w:rPr>
        <w:t>百平方公里。其中，高速公路</w:t>
      </w:r>
      <w:r>
        <w:t>482</w:t>
      </w:r>
      <w:r>
        <w:rPr>
          <w:rFonts w:cs="宋体" w:hint="eastAsia"/>
        </w:rPr>
        <w:t>公里，国道</w:t>
      </w:r>
      <w:r>
        <w:t>808</w:t>
      </w:r>
      <w:r>
        <w:rPr>
          <w:rFonts w:cs="宋体" w:hint="eastAsia"/>
        </w:rPr>
        <w:t>公里，省道</w:t>
      </w:r>
      <w:r>
        <w:t>783</w:t>
      </w:r>
      <w:r>
        <w:rPr>
          <w:rFonts w:cs="宋体" w:hint="eastAsia"/>
        </w:rPr>
        <w:t>公里，县道</w:t>
      </w:r>
      <w:r>
        <w:t>1965.793</w:t>
      </w:r>
      <w:r>
        <w:rPr>
          <w:rFonts w:cs="宋体" w:hint="eastAsia"/>
        </w:rPr>
        <w:t>公里，乡道</w:t>
      </w:r>
      <w:r>
        <w:t>10396.528</w:t>
      </w:r>
      <w:r>
        <w:rPr>
          <w:rFonts w:cs="宋体" w:hint="eastAsia"/>
        </w:rPr>
        <w:t>公里，村道</w:t>
      </w:r>
      <w:r>
        <w:t>3217.997</w:t>
      </w:r>
      <w:r>
        <w:rPr>
          <w:rFonts w:cs="宋体" w:hint="eastAsia"/>
        </w:rPr>
        <w:t>公里，专用公路</w:t>
      </w:r>
      <w:r>
        <w:t>51.707</w:t>
      </w:r>
      <w:r>
        <w:rPr>
          <w:rFonts w:cs="宋体" w:hint="eastAsia"/>
        </w:rPr>
        <w:t>公里。</w:t>
      </w:r>
    </w:p>
    <w:p w:rsidR="005E49F7" w:rsidRDefault="005E49F7" w:rsidP="00D23914">
      <w:pPr>
        <w:pStyle w:val="1"/>
        <w:ind w:firstLine="31680"/>
      </w:pPr>
      <w:r>
        <w:rPr>
          <w:rFonts w:cs="宋体" w:hint="eastAsia"/>
        </w:rPr>
        <w:t>公共交通：梅州城区（含梅县区、梅江区）公交车数量达到</w:t>
      </w:r>
      <w:r>
        <w:t>1016</w:t>
      </w:r>
      <w:r>
        <w:rPr>
          <w:rFonts w:cs="宋体" w:hint="eastAsia"/>
        </w:rPr>
        <w:t>辆，折合</w:t>
      </w:r>
      <w:r>
        <w:t>855.2</w:t>
      </w:r>
      <w:r>
        <w:rPr>
          <w:rFonts w:cs="宋体" w:hint="eastAsia"/>
        </w:rPr>
        <w:t>标台，清洁能源和新能源公交车有</w:t>
      </w:r>
      <w:r>
        <w:t>792</w:t>
      </w:r>
      <w:r>
        <w:rPr>
          <w:rFonts w:cs="宋体" w:hint="eastAsia"/>
        </w:rPr>
        <w:t>辆，占公交车辆总数的</w:t>
      </w:r>
      <w:r>
        <w:t>78 %</w:t>
      </w:r>
      <w:r>
        <w:rPr>
          <w:rFonts w:cs="宋体" w:hint="eastAsia"/>
        </w:rPr>
        <w:t>，清洁能源汽车比例及城市万人公交拥有量这两项指标均位于全省前列；</w:t>
      </w:r>
      <w:r>
        <w:t>2015</w:t>
      </w:r>
      <w:r>
        <w:rPr>
          <w:rFonts w:cs="宋体" w:hint="eastAsia"/>
        </w:rPr>
        <w:t>年，梅州市全面开通了梅江区、梅县区城乡公交线路，共有</w:t>
      </w:r>
      <w:r>
        <w:t>49</w:t>
      </w:r>
      <w:r>
        <w:rPr>
          <w:rFonts w:cs="宋体" w:hint="eastAsia"/>
        </w:rPr>
        <w:t>条公交线路、</w:t>
      </w:r>
      <w:r>
        <w:t>3</w:t>
      </w:r>
      <w:r>
        <w:rPr>
          <w:rFonts w:cs="宋体" w:hint="eastAsia"/>
        </w:rPr>
        <w:t>个公交站场、</w:t>
      </w:r>
      <w:r>
        <w:t>1</w:t>
      </w:r>
      <w:r>
        <w:rPr>
          <w:rFonts w:cs="宋体" w:hint="eastAsia"/>
        </w:rPr>
        <w:t>座公交车加气站、</w:t>
      </w:r>
      <w:r>
        <w:t>321</w:t>
      </w:r>
      <w:r>
        <w:rPr>
          <w:rFonts w:cs="宋体" w:hint="eastAsia"/>
        </w:rPr>
        <w:t>个公交站亭（台），运营线路里程</w:t>
      </w:r>
      <w:r>
        <w:t>1500</w:t>
      </w:r>
      <w:r>
        <w:rPr>
          <w:rFonts w:cs="宋体" w:hint="eastAsia"/>
        </w:rPr>
        <w:t>多公里，城市公交受惠人口达</w:t>
      </w:r>
      <w:r>
        <w:t>95</w:t>
      </w:r>
      <w:r>
        <w:rPr>
          <w:rFonts w:cs="宋体" w:hint="eastAsia"/>
        </w:rPr>
        <w:t>万人，年客运量达</w:t>
      </w:r>
      <w:r>
        <w:t>3500</w:t>
      </w:r>
      <w:r>
        <w:rPr>
          <w:rFonts w:cs="宋体" w:hint="eastAsia"/>
        </w:rPr>
        <w:t>万人次。</w:t>
      </w:r>
    </w:p>
    <w:p w:rsidR="005E49F7" w:rsidRDefault="005E49F7" w:rsidP="00D23914">
      <w:pPr>
        <w:pStyle w:val="ad"/>
        <w:spacing w:beforeLines="0" w:afterLines="0"/>
        <w:ind w:firstLine="31680"/>
      </w:pPr>
      <w:r>
        <w:rPr>
          <w:rFonts w:cs="黑体" w:hint="eastAsia"/>
        </w:rPr>
        <w:t>二、供电规划</w:t>
      </w:r>
    </w:p>
    <w:p w:rsidR="005E49F7" w:rsidRDefault="005E49F7" w:rsidP="00D23914">
      <w:pPr>
        <w:adjustRightInd w:val="0"/>
        <w:snapToGrid w:val="0"/>
        <w:spacing w:line="360" w:lineRule="auto"/>
        <w:ind w:firstLineChars="192" w:firstLine="31680"/>
      </w:pPr>
      <w:r>
        <w:rPr>
          <w:rFonts w:cs="宋体" w:hint="eastAsia"/>
        </w:rPr>
        <w:t>梅州港各港区的供电主要来自广东省电网，根据电源及港区分布情况，规划各港区供电电源接自附近的输变电站，各主要港区根据需要设置总降压站，在接近各作业区的用电负荷中心设置相应的变电所。进港回路根据负荷等级和容量大小采用不同的接线方式，电缆在港区采用管沟或穿管埋地等敷设方式。</w:t>
      </w:r>
    </w:p>
    <w:p w:rsidR="005E49F7" w:rsidRDefault="005E49F7" w:rsidP="00D23914">
      <w:pPr>
        <w:adjustRightInd w:val="0"/>
        <w:snapToGrid w:val="0"/>
        <w:spacing w:line="360" w:lineRule="auto"/>
        <w:ind w:firstLineChars="192" w:firstLine="31680"/>
      </w:pPr>
      <w:r>
        <w:rPr>
          <w:rFonts w:cs="宋体" w:hint="eastAsia"/>
        </w:rPr>
        <w:t>各港区估算用电量见下表：</w:t>
      </w:r>
    </w:p>
    <w:p w:rsidR="005E49F7" w:rsidRDefault="005E49F7">
      <w:pPr>
        <w:pStyle w:val="Heading5"/>
        <w:spacing w:before="120"/>
      </w:pPr>
      <w:r>
        <w:rPr>
          <w:rFonts w:cs="黑体" w:hint="eastAsia"/>
          <w:kern w:val="0"/>
        </w:rPr>
        <w:t>表</w:t>
      </w:r>
      <w:r>
        <w:rPr>
          <w:kern w:val="0"/>
        </w:rPr>
        <w:t>1.-4</w:t>
      </w:r>
      <w:r>
        <w:rPr>
          <w:rFonts w:cs="黑体" w:hint="eastAsia"/>
          <w:kern w:val="0"/>
        </w:rPr>
        <w:t>各港区用电量预测表</w:t>
      </w:r>
      <w:r>
        <w:rPr>
          <w:kern w:val="0"/>
        </w:rPr>
        <w:t xml:space="preserve">       </w:t>
      </w:r>
    </w:p>
    <w:tbl>
      <w:tblPr>
        <w:tblW w:w="8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1226"/>
        <w:gridCol w:w="2662"/>
        <w:gridCol w:w="2386"/>
        <w:gridCol w:w="2254"/>
      </w:tblGrid>
      <w:tr w:rsidR="005E49F7">
        <w:trPr>
          <w:trHeight w:val="427"/>
          <w:jc w:val="center"/>
        </w:trPr>
        <w:tc>
          <w:tcPr>
            <w:tcW w:w="1226" w:type="dxa"/>
            <w:tcBorders>
              <w:top w:val="single" w:sz="12" w:space="0" w:color="auto"/>
            </w:tcBorders>
            <w:vAlign w:val="center"/>
          </w:tcPr>
          <w:p w:rsidR="005E49F7" w:rsidRDefault="005E49F7">
            <w:pPr>
              <w:widowControl/>
              <w:jc w:val="center"/>
              <w:rPr>
                <w:rFonts w:ascii="宋体"/>
                <w:kern w:val="0"/>
                <w:sz w:val="21"/>
                <w:szCs w:val="21"/>
              </w:rPr>
            </w:pPr>
            <w:r>
              <w:rPr>
                <w:rFonts w:ascii="宋体" w:hAnsi="宋体" w:cs="宋体" w:hint="eastAsia"/>
                <w:kern w:val="0"/>
                <w:sz w:val="21"/>
                <w:szCs w:val="21"/>
              </w:rPr>
              <w:t>序号</w:t>
            </w:r>
          </w:p>
        </w:tc>
        <w:tc>
          <w:tcPr>
            <w:tcW w:w="2662" w:type="dxa"/>
            <w:tcBorders>
              <w:top w:val="single" w:sz="12" w:space="0" w:color="auto"/>
            </w:tcBorders>
            <w:vAlign w:val="center"/>
          </w:tcPr>
          <w:p w:rsidR="005E49F7" w:rsidRDefault="005E49F7">
            <w:pPr>
              <w:widowControl/>
              <w:jc w:val="center"/>
              <w:rPr>
                <w:rFonts w:ascii="宋体"/>
                <w:kern w:val="0"/>
                <w:sz w:val="21"/>
                <w:szCs w:val="21"/>
              </w:rPr>
            </w:pPr>
            <w:r>
              <w:rPr>
                <w:rFonts w:ascii="宋体" w:hAnsi="宋体" w:cs="宋体" w:hint="eastAsia"/>
                <w:kern w:val="0"/>
                <w:sz w:val="21"/>
                <w:szCs w:val="21"/>
              </w:rPr>
              <w:t>作业区名称</w:t>
            </w:r>
          </w:p>
        </w:tc>
        <w:tc>
          <w:tcPr>
            <w:tcW w:w="2386" w:type="dxa"/>
            <w:tcBorders>
              <w:top w:val="single" w:sz="12" w:space="0" w:color="auto"/>
            </w:tcBorders>
            <w:vAlign w:val="center"/>
          </w:tcPr>
          <w:p w:rsidR="005E49F7" w:rsidRDefault="005E49F7">
            <w:pPr>
              <w:widowControl/>
              <w:jc w:val="center"/>
              <w:rPr>
                <w:rFonts w:ascii="宋体"/>
                <w:kern w:val="0"/>
                <w:sz w:val="21"/>
                <w:szCs w:val="21"/>
              </w:rPr>
            </w:pPr>
            <w:r>
              <w:rPr>
                <w:rFonts w:ascii="宋体" w:hAnsi="宋体" w:cs="宋体" w:hint="eastAsia"/>
                <w:kern w:val="0"/>
                <w:sz w:val="21"/>
                <w:szCs w:val="21"/>
              </w:rPr>
              <w:t>估算用电量（</w:t>
            </w:r>
            <w:r>
              <w:rPr>
                <w:rFonts w:ascii="宋体" w:hAnsi="宋体" w:cs="宋体"/>
                <w:kern w:val="0"/>
                <w:sz w:val="21"/>
                <w:szCs w:val="21"/>
              </w:rPr>
              <w:t>kW</w:t>
            </w:r>
            <w:r>
              <w:rPr>
                <w:rFonts w:ascii="宋体" w:hAnsi="宋体" w:cs="宋体" w:hint="eastAsia"/>
                <w:kern w:val="0"/>
                <w:sz w:val="21"/>
                <w:szCs w:val="21"/>
              </w:rPr>
              <w:t>）</w:t>
            </w:r>
          </w:p>
        </w:tc>
        <w:tc>
          <w:tcPr>
            <w:tcW w:w="2254" w:type="dxa"/>
            <w:tcBorders>
              <w:top w:val="single" w:sz="12" w:space="0" w:color="auto"/>
            </w:tcBorders>
            <w:vAlign w:val="center"/>
          </w:tcPr>
          <w:p w:rsidR="005E49F7" w:rsidRDefault="005E49F7">
            <w:pPr>
              <w:widowControl/>
              <w:jc w:val="center"/>
              <w:rPr>
                <w:rFonts w:ascii="宋体"/>
                <w:kern w:val="0"/>
                <w:sz w:val="21"/>
                <w:szCs w:val="21"/>
              </w:rPr>
            </w:pPr>
            <w:r>
              <w:rPr>
                <w:rFonts w:ascii="宋体" w:hAnsi="宋体" w:cs="宋体" w:hint="eastAsia"/>
                <w:kern w:val="0"/>
                <w:sz w:val="21"/>
                <w:szCs w:val="21"/>
              </w:rPr>
              <w:t>备注</w:t>
            </w:r>
          </w:p>
        </w:tc>
      </w:tr>
      <w:tr w:rsidR="005E49F7">
        <w:trPr>
          <w:trHeight w:val="390"/>
          <w:jc w:val="center"/>
        </w:trPr>
        <w:tc>
          <w:tcPr>
            <w:tcW w:w="1226" w:type="dxa"/>
            <w:vAlign w:val="center"/>
          </w:tcPr>
          <w:p w:rsidR="005E49F7" w:rsidRDefault="005E49F7">
            <w:pPr>
              <w:widowControl/>
              <w:jc w:val="center"/>
              <w:rPr>
                <w:rFonts w:ascii="宋体"/>
                <w:kern w:val="0"/>
                <w:sz w:val="21"/>
                <w:szCs w:val="21"/>
              </w:rPr>
            </w:pPr>
            <w:r>
              <w:rPr>
                <w:rFonts w:ascii="宋体" w:hAnsi="宋体" w:cs="宋体"/>
                <w:kern w:val="0"/>
                <w:sz w:val="21"/>
                <w:szCs w:val="21"/>
              </w:rPr>
              <w:t>1</w:t>
            </w:r>
          </w:p>
        </w:tc>
        <w:tc>
          <w:tcPr>
            <w:tcW w:w="2662" w:type="dxa"/>
            <w:vAlign w:val="center"/>
          </w:tcPr>
          <w:p w:rsidR="005E49F7" w:rsidRDefault="005E49F7">
            <w:pPr>
              <w:widowControl/>
              <w:jc w:val="left"/>
              <w:rPr>
                <w:rFonts w:ascii="宋体"/>
                <w:kern w:val="0"/>
                <w:sz w:val="21"/>
                <w:szCs w:val="21"/>
              </w:rPr>
            </w:pPr>
            <w:r>
              <w:rPr>
                <w:rFonts w:ascii="宋体" w:hAnsi="宋体" w:cs="宋体" w:hint="eastAsia"/>
                <w:sz w:val="21"/>
                <w:szCs w:val="21"/>
              </w:rPr>
              <w:t>梅州港区雁洋作业区</w:t>
            </w:r>
          </w:p>
        </w:tc>
        <w:tc>
          <w:tcPr>
            <w:tcW w:w="2386" w:type="dxa"/>
            <w:vAlign w:val="center"/>
          </w:tcPr>
          <w:p w:rsidR="005E49F7" w:rsidRDefault="005E49F7">
            <w:pPr>
              <w:widowControl/>
              <w:jc w:val="center"/>
              <w:rPr>
                <w:rFonts w:ascii="宋体"/>
                <w:kern w:val="0"/>
                <w:sz w:val="21"/>
                <w:szCs w:val="21"/>
              </w:rPr>
            </w:pPr>
            <w:r>
              <w:rPr>
                <w:rFonts w:ascii="宋体" w:hAnsi="宋体" w:cs="宋体"/>
                <w:kern w:val="0"/>
                <w:sz w:val="21"/>
                <w:szCs w:val="21"/>
              </w:rPr>
              <w:t>3350</w:t>
            </w:r>
          </w:p>
        </w:tc>
        <w:tc>
          <w:tcPr>
            <w:tcW w:w="2254" w:type="dxa"/>
            <w:vAlign w:val="center"/>
          </w:tcPr>
          <w:p w:rsidR="005E49F7" w:rsidRDefault="005E49F7">
            <w:pPr>
              <w:widowControl/>
              <w:jc w:val="center"/>
              <w:rPr>
                <w:rFonts w:ascii="宋体"/>
                <w:kern w:val="0"/>
                <w:sz w:val="21"/>
                <w:szCs w:val="21"/>
              </w:rPr>
            </w:pPr>
            <w:r>
              <w:rPr>
                <w:rFonts w:ascii="宋体" w:hAnsi="宋体" w:cs="宋体" w:hint="eastAsia"/>
                <w:sz w:val="21"/>
                <w:szCs w:val="21"/>
              </w:rPr>
              <w:t>水泥</w:t>
            </w:r>
            <w:r>
              <w:rPr>
                <w:rFonts w:ascii="宋体" w:hAnsi="宋体" w:cs="宋体" w:hint="eastAsia"/>
                <w:kern w:val="0"/>
                <w:sz w:val="21"/>
                <w:szCs w:val="21"/>
              </w:rPr>
              <w:t xml:space="preserve">　</w:t>
            </w:r>
          </w:p>
        </w:tc>
      </w:tr>
      <w:tr w:rsidR="005E49F7">
        <w:trPr>
          <w:trHeight w:val="390"/>
          <w:jc w:val="center"/>
        </w:trPr>
        <w:tc>
          <w:tcPr>
            <w:tcW w:w="1226" w:type="dxa"/>
            <w:vAlign w:val="center"/>
          </w:tcPr>
          <w:p w:rsidR="005E49F7" w:rsidRDefault="005E49F7">
            <w:pPr>
              <w:widowControl/>
              <w:jc w:val="center"/>
              <w:rPr>
                <w:rFonts w:ascii="宋体"/>
                <w:kern w:val="0"/>
                <w:sz w:val="21"/>
                <w:szCs w:val="21"/>
              </w:rPr>
            </w:pPr>
            <w:r>
              <w:rPr>
                <w:rFonts w:ascii="宋体" w:hAnsi="宋体" w:cs="宋体"/>
                <w:kern w:val="0"/>
                <w:sz w:val="21"/>
                <w:szCs w:val="21"/>
              </w:rPr>
              <w:t>2</w:t>
            </w:r>
          </w:p>
        </w:tc>
        <w:tc>
          <w:tcPr>
            <w:tcW w:w="2662" w:type="dxa"/>
            <w:vAlign w:val="center"/>
          </w:tcPr>
          <w:p w:rsidR="005E49F7" w:rsidRDefault="005E49F7">
            <w:pPr>
              <w:widowControl/>
              <w:jc w:val="left"/>
              <w:rPr>
                <w:rFonts w:ascii="宋体"/>
                <w:kern w:val="0"/>
                <w:sz w:val="21"/>
                <w:szCs w:val="21"/>
              </w:rPr>
            </w:pPr>
            <w:r>
              <w:rPr>
                <w:rFonts w:ascii="宋体" w:hAnsi="宋体" w:cs="宋体" w:hint="eastAsia"/>
                <w:sz w:val="21"/>
                <w:szCs w:val="21"/>
              </w:rPr>
              <w:t>梅州港区松口作业区</w:t>
            </w:r>
          </w:p>
        </w:tc>
        <w:tc>
          <w:tcPr>
            <w:tcW w:w="2386" w:type="dxa"/>
            <w:vAlign w:val="center"/>
          </w:tcPr>
          <w:p w:rsidR="005E49F7" w:rsidRDefault="005E49F7">
            <w:pPr>
              <w:widowControl/>
              <w:jc w:val="center"/>
              <w:rPr>
                <w:rFonts w:ascii="宋体"/>
                <w:kern w:val="0"/>
                <w:sz w:val="21"/>
                <w:szCs w:val="21"/>
              </w:rPr>
            </w:pPr>
            <w:r>
              <w:rPr>
                <w:rFonts w:ascii="宋体" w:hAnsi="宋体" w:cs="宋体"/>
                <w:kern w:val="0"/>
                <w:sz w:val="21"/>
                <w:szCs w:val="21"/>
              </w:rPr>
              <w:t>3350</w:t>
            </w:r>
          </w:p>
        </w:tc>
        <w:tc>
          <w:tcPr>
            <w:tcW w:w="2254" w:type="dxa"/>
            <w:vAlign w:val="center"/>
          </w:tcPr>
          <w:p w:rsidR="005E49F7" w:rsidRDefault="005E49F7">
            <w:pPr>
              <w:widowControl/>
              <w:jc w:val="center"/>
              <w:rPr>
                <w:rFonts w:ascii="宋体"/>
                <w:kern w:val="0"/>
                <w:sz w:val="21"/>
                <w:szCs w:val="21"/>
              </w:rPr>
            </w:pPr>
            <w:r>
              <w:rPr>
                <w:rFonts w:ascii="宋体" w:hAnsi="宋体" w:cs="宋体" w:hint="eastAsia"/>
                <w:sz w:val="21"/>
                <w:szCs w:val="21"/>
              </w:rPr>
              <w:t>水泥</w:t>
            </w:r>
          </w:p>
        </w:tc>
      </w:tr>
      <w:tr w:rsidR="005E49F7">
        <w:trPr>
          <w:trHeight w:val="390"/>
          <w:jc w:val="center"/>
        </w:trPr>
        <w:tc>
          <w:tcPr>
            <w:tcW w:w="1226" w:type="dxa"/>
            <w:vAlign w:val="center"/>
          </w:tcPr>
          <w:p w:rsidR="005E49F7" w:rsidRDefault="005E49F7">
            <w:pPr>
              <w:widowControl/>
              <w:jc w:val="center"/>
              <w:rPr>
                <w:rFonts w:ascii="宋体"/>
                <w:kern w:val="0"/>
                <w:sz w:val="21"/>
                <w:szCs w:val="21"/>
              </w:rPr>
            </w:pPr>
            <w:r>
              <w:rPr>
                <w:rFonts w:ascii="宋体" w:hAnsi="宋体" w:cs="宋体"/>
                <w:kern w:val="0"/>
                <w:sz w:val="21"/>
                <w:szCs w:val="21"/>
              </w:rPr>
              <w:t>3</w:t>
            </w:r>
          </w:p>
        </w:tc>
        <w:tc>
          <w:tcPr>
            <w:tcW w:w="2662" w:type="dxa"/>
            <w:vAlign w:val="center"/>
          </w:tcPr>
          <w:p w:rsidR="005E49F7" w:rsidRDefault="005E49F7">
            <w:pPr>
              <w:widowControl/>
              <w:jc w:val="left"/>
              <w:rPr>
                <w:rFonts w:ascii="宋体"/>
                <w:kern w:val="0"/>
                <w:sz w:val="21"/>
                <w:szCs w:val="21"/>
              </w:rPr>
            </w:pPr>
            <w:r>
              <w:rPr>
                <w:rFonts w:ascii="宋体" w:hAnsi="宋体" w:cs="宋体" w:hint="eastAsia"/>
                <w:sz w:val="21"/>
                <w:szCs w:val="21"/>
              </w:rPr>
              <w:t>大埔港区茶阳作业区</w:t>
            </w:r>
          </w:p>
        </w:tc>
        <w:tc>
          <w:tcPr>
            <w:tcW w:w="2386" w:type="dxa"/>
            <w:vAlign w:val="center"/>
          </w:tcPr>
          <w:p w:rsidR="005E49F7" w:rsidRDefault="005E49F7">
            <w:pPr>
              <w:widowControl/>
              <w:jc w:val="center"/>
              <w:rPr>
                <w:rFonts w:ascii="宋体"/>
                <w:kern w:val="0"/>
                <w:sz w:val="21"/>
                <w:szCs w:val="21"/>
              </w:rPr>
            </w:pPr>
            <w:r>
              <w:rPr>
                <w:rFonts w:ascii="宋体" w:hAnsi="宋体" w:cs="宋体"/>
                <w:kern w:val="0"/>
                <w:sz w:val="21"/>
                <w:szCs w:val="21"/>
              </w:rPr>
              <w:t>2900</w:t>
            </w:r>
          </w:p>
        </w:tc>
        <w:tc>
          <w:tcPr>
            <w:tcW w:w="2254" w:type="dxa"/>
            <w:vAlign w:val="center"/>
          </w:tcPr>
          <w:p w:rsidR="005E49F7" w:rsidRDefault="005E49F7">
            <w:pPr>
              <w:widowControl/>
              <w:jc w:val="center"/>
              <w:rPr>
                <w:rFonts w:ascii="宋体"/>
                <w:kern w:val="0"/>
                <w:sz w:val="21"/>
                <w:szCs w:val="21"/>
              </w:rPr>
            </w:pPr>
            <w:r>
              <w:rPr>
                <w:rFonts w:ascii="宋体" w:hAnsi="宋体" w:cs="宋体" w:hint="eastAsia"/>
                <w:sz w:val="21"/>
                <w:szCs w:val="21"/>
              </w:rPr>
              <w:t>煤炭</w:t>
            </w:r>
          </w:p>
        </w:tc>
      </w:tr>
      <w:tr w:rsidR="005E49F7">
        <w:trPr>
          <w:trHeight w:val="390"/>
          <w:jc w:val="center"/>
        </w:trPr>
        <w:tc>
          <w:tcPr>
            <w:tcW w:w="1226" w:type="dxa"/>
            <w:tcBorders>
              <w:bottom w:val="single" w:sz="12" w:space="0" w:color="auto"/>
            </w:tcBorders>
            <w:vAlign w:val="center"/>
          </w:tcPr>
          <w:p w:rsidR="005E49F7" w:rsidRDefault="005E49F7">
            <w:pPr>
              <w:widowControl/>
              <w:jc w:val="center"/>
              <w:rPr>
                <w:rFonts w:ascii="宋体"/>
                <w:kern w:val="0"/>
                <w:sz w:val="21"/>
                <w:szCs w:val="21"/>
              </w:rPr>
            </w:pPr>
            <w:r>
              <w:rPr>
                <w:rFonts w:ascii="宋体" w:hAnsi="宋体" w:cs="宋体"/>
                <w:kern w:val="0"/>
                <w:sz w:val="21"/>
                <w:szCs w:val="21"/>
              </w:rPr>
              <w:t>4</w:t>
            </w:r>
          </w:p>
        </w:tc>
        <w:tc>
          <w:tcPr>
            <w:tcW w:w="2662" w:type="dxa"/>
            <w:tcBorders>
              <w:bottom w:val="single" w:sz="12" w:space="0" w:color="auto"/>
            </w:tcBorders>
            <w:vAlign w:val="center"/>
          </w:tcPr>
          <w:p w:rsidR="005E49F7" w:rsidRDefault="005E49F7">
            <w:pPr>
              <w:widowControl/>
              <w:jc w:val="left"/>
              <w:rPr>
                <w:rFonts w:ascii="宋体"/>
                <w:kern w:val="0"/>
                <w:sz w:val="21"/>
                <w:szCs w:val="21"/>
              </w:rPr>
            </w:pPr>
            <w:r>
              <w:rPr>
                <w:rFonts w:ascii="宋体" w:hAnsi="宋体" w:cs="宋体" w:hint="eastAsia"/>
                <w:sz w:val="21"/>
                <w:szCs w:val="21"/>
              </w:rPr>
              <w:t>大埔港区三河作业区</w:t>
            </w:r>
          </w:p>
        </w:tc>
        <w:tc>
          <w:tcPr>
            <w:tcW w:w="2386" w:type="dxa"/>
            <w:tcBorders>
              <w:bottom w:val="single" w:sz="12" w:space="0" w:color="auto"/>
            </w:tcBorders>
            <w:vAlign w:val="center"/>
          </w:tcPr>
          <w:p w:rsidR="005E49F7" w:rsidRDefault="005E49F7">
            <w:pPr>
              <w:widowControl/>
              <w:jc w:val="center"/>
              <w:rPr>
                <w:rFonts w:ascii="宋体"/>
                <w:kern w:val="0"/>
                <w:sz w:val="21"/>
                <w:szCs w:val="21"/>
              </w:rPr>
            </w:pPr>
            <w:r>
              <w:rPr>
                <w:rFonts w:ascii="宋体" w:hAnsi="宋体" w:cs="宋体"/>
                <w:kern w:val="0"/>
                <w:sz w:val="21"/>
                <w:szCs w:val="21"/>
              </w:rPr>
              <w:t>3200</w:t>
            </w:r>
          </w:p>
        </w:tc>
        <w:tc>
          <w:tcPr>
            <w:tcW w:w="2254" w:type="dxa"/>
            <w:tcBorders>
              <w:bottom w:val="single" w:sz="12" w:space="0" w:color="auto"/>
            </w:tcBorders>
            <w:vAlign w:val="center"/>
          </w:tcPr>
          <w:p w:rsidR="005E49F7" w:rsidRDefault="005E49F7">
            <w:pPr>
              <w:widowControl/>
              <w:jc w:val="center"/>
              <w:rPr>
                <w:rFonts w:ascii="宋体"/>
                <w:kern w:val="0"/>
                <w:sz w:val="21"/>
                <w:szCs w:val="21"/>
              </w:rPr>
            </w:pPr>
            <w:r>
              <w:rPr>
                <w:rFonts w:ascii="宋体" w:hAnsi="宋体" w:cs="宋体" w:hint="eastAsia"/>
                <w:kern w:val="0"/>
                <w:sz w:val="21"/>
                <w:szCs w:val="21"/>
              </w:rPr>
              <w:t xml:space="preserve">集装箱　</w:t>
            </w:r>
          </w:p>
        </w:tc>
      </w:tr>
    </w:tbl>
    <w:p w:rsidR="005E49F7" w:rsidRDefault="005E49F7">
      <w:pPr>
        <w:pStyle w:val="ad"/>
        <w:spacing w:beforeLines="0" w:afterLines="0"/>
        <w:ind w:firstLineChars="0" w:firstLine="0"/>
      </w:pPr>
    </w:p>
    <w:p w:rsidR="005E49F7" w:rsidRDefault="005E49F7" w:rsidP="00D23914">
      <w:pPr>
        <w:pStyle w:val="ad"/>
        <w:spacing w:beforeLines="0" w:afterLines="0"/>
        <w:ind w:firstLine="31680"/>
      </w:pPr>
      <w:r>
        <w:rPr>
          <w:rFonts w:cs="黑体" w:hint="eastAsia"/>
        </w:rPr>
        <w:t>三、给排水规划</w:t>
      </w:r>
    </w:p>
    <w:p w:rsidR="005E49F7" w:rsidRDefault="005E49F7" w:rsidP="00D23914">
      <w:pPr>
        <w:pStyle w:val="11"/>
        <w:ind w:firstLine="31680"/>
      </w:pPr>
      <w:r>
        <w:rPr>
          <w:rFonts w:cs="宋体" w:hint="eastAsia"/>
        </w:rPr>
        <w:t>目前梅州港主要港区分布有梅州、大埔、丰顺等港区或作业区，港口规模一般较小，港口的给排水就近接入城市管网。</w:t>
      </w:r>
    </w:p>
    <w:p w:rsidR="005E49F7" w:rsidRDefault="005E49F7" w:rsidP="00D23914">
      <w:pPr>
        <w:pStyle w:val="11"/>
        <w:ind w:firstLine="31680"/>
      </w:pPr>
      <w:r>
        <w:rPr>
          <w:rFonts w:cs="宋体" w:hint="eastAsia"/>
        </w:rPr>
        <w:t>梅州城区和各县城自来水厂的总供水能力为</w:t>
      </w:r>
      <w:r>
        <w:t>85</w:t>
      </w:r>
      <w:r>
        <w:rPr>
          <w:rFonts w:cs="宋体" w:hint="eastAsia"/>
        </w:rPr>
        <w:t>万</w:t>
      </w:r>
      <w:r>
        <w:t>m</w:t>
      </w:r>
      <w:r>
        <w:rPr>
          <w:vertAlign w:val="superscript"/>
        </w:rPr>
        <w:t>3</w:t>
      </w:r>
      <w:r>
        <w:t>/</w:t>
      </w:r>
      <w:r>
        <w:rPr>
          <w:rFonts w:cs="宋体" w:hint="eastAsia"/>
        </w:rPr>
        <w:t>日。随着梅州经济社会发展，西桥水厂、东升水厂等水厂在高峰期超负荷运作，供水压力日益增大。</w:t>
      </w:r>
    </w:p>
    <w:p w:rsidR="005E49F7" w:rsidRDefault="005E49F7" w:rsidP="00D23914">
      <w:pPr>
        <w:pStyle w:val="11"/>
        <w:ind w:firstLine="31680"/>
      </w:pPr>
      <w:r>
        <w:rPr>
          <w:rFonts w:cs="宋体" w:hint="eastAsia"/>
        </w:rPr>
        <w:t>根据城乡总体规划，通过境外引水、雨洪利用和污水再生利用等策略提高水资源供给能力，新建或扩建自来水厂以满足今后城乡用水要求。</w:t>
      </w:r>
    </w:p>
    <w:p w:rsidR="005E49F7" w:rsidRDefault="005E49F7" w:rsidP="00D23914">
      <w:pPr>
        <w:pStyle w:val="11"/>
        <w:ind w:firstLine="31680"/>
      </w:pPr>
      <w:r>
        <w:rPr>
          <w:rFonts w:cs="宋体" w:hint="eastAsia"/>
        </w:rPr>
        <w:t>各主要港区、作业区均位于城镇附近，今后各城镇供水系统将越来越完备，港区供水可就近接自城镇供水管网。根据港区性质、规模等，估算</w:t>
      </w:r>
      <w:r>
        <w:t>2030</w:t>
      </w:r>
      <w:r>
        <w:rPr>
          <w:rFonts w:cs="宋体" w:hint="eastAsia"/>
        </w:rPr>
        <w:t>年需新建泊位而增加的各港区用水量，见</w:t>
      </w:r>
      <w:r>
        <w:t>1.2-5</w:t>
      </w:r>
      <w:r>
        <w:rPr>
          <w:rFonts w:cs="宋体" w:hint="eastAsia"/>
        </w:rPr>
        <w:t>。</w:t>
      </w:r>
    </w:p>
    <w:p w:rsidR="005E49F7" w:rsidRDefault="005E49F7">
      <w:pPr>
        <w:pStyle w:val="Heading5"/>
        <w:spacing w:before="120"/>
        <w:rPr>
          <w:kern w:val="0"/>
        </w:rPr>
      </w:pPr>
      <w:r>
        <w:rPr>
          <w:rFonts w:cs="黑体" w:hint="eastAsia"/>
          <w:kern w:val="0"/>
        </w:rPr>
        <w:t>表</w:t>
      </w:r>
      <w:r>
        <w:rPr>
          <w:kern w:val="0"/>
        </w:rPr>
        <w:t>1.2-5</w:t>
      </w:r>
      <w:r>
        <w:rPr>
          <w:rFonts w:cs="黑体" w:hint="eastAsia"/>
          <w:kern w:val="0"/>
        </w:rPr>
        <w:t>各港区用水量估算表</w:t>
      </w:r>
    </w:p>
    <w:tbl>
      <w:tblPr>
        <w:tblW w:w="8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tblPr>
      <w:tblGrid>
        <w:gridCol w:w="1079"/>
        <w:gridCol w:w="2695"/>
        <w:gridCol w:w="2468"/>
        <w:gridCol w:w="2286"/>
      </w:tblGrid>
      <w:tr w:rsidR="005E49F7">
        <w:trPr>
          <w:trHeight w:val="20"/>
          <w:jc w:val="center"/>
        </w:trPr>
        <w:tc>
          <w:tcPr>
            <w:tcW w:w="1079" w:type="dxa"/>
            <w:tcBorders>
              <w:top w:val="single" w:sz="12" w:space="0" w:color="auto"/>
            </w:tcBorders>
            <w:vAlign w:val="center"/>
          </w:tcPr>
          <w:p w:rsidR="005E49F7" w:rsidRDefault="005E49F7">
            <w:pPr>
              <w:adjustRightInd w:val="0"/>
              <w:snapToGrid w:val="0"/>
              <w:jc w:val="center"/>
              <w:textAlignment w:val="center"/>
              <w:rPr>
                <w:rFonts w:ascii="宋体"/>
                <w:sz w:val="21"/>
                <w:szCs w:val="21"/>
              </w:rPr>
            </w:pPr>
            <w:r>
              <w:rPr>
                <w:rFonts w:ascii="宋体" w:hAnsi="宋体" w:cs="宋体" w:hint="eastAsia"/>
                <w:sz w:val="21"/>
                <w:szCs w:val="21"/>
              </w:rPr>
              <w:t>序号</w:t>
            </w:r>
          </w:p>
        </w:tc>
        <w:tc>
          <w:tcPr>
            <w:tcW w:w="2695" w:type="dxa"/>
            <w:tcBorders>
              <w:top w:val="single" w:sz="12" w:space="0" w:color="auto"/>
            </w:tcBorders>
            <w:vAlign w:val="center"/>
          </w:tcPr>
          <w:p w:rsidR="005E49F7" w:rsidRDefault="005E49F7">
            <w:pPr>
              <w:adjustRightInd w:val="0"/>
              <w:snapToGrid w:val="0"/>
              <w:jc w:val="center"/>
              <w:textAlignment w:val="center"/>
              <w:rPr>
                <w:rFonts w:ascii="宋体"/>
                <w:sz w:val="21"/>
                <w:szCs w:val="21"/>
              </w:rPr>
            </w:pPr>
            <w:r>
              <w:rPr>
                <w:rFonts w:ascii="宋体" w:hAnsi="宋体" w:cs="宋体" w:hint="eastAsia"/>
                <w:sz w:val="21"/>
                <w:szCs w:val="21"/>
              </w:rPr>
              <w:t>港区名称</w:t>
            </w:r>
          </w:p>
        </w:tc>
        <w:tc>
          <w:tcPr>
            <w:tcW w:w="2468" w:type="dxa"/>
            <w:tcBorders>
              <w:top w:val="single" w:sz="12" w:space="0" w:color="auto"/>
            </w:tcBorders>
            <w:vAlign w:val="center"/>
          </w:tcPr>
          <w:p w:rsidR="005E49F7" w:rsidRDefault="005E49F7">
            <w:pPr>
              <w:adjustRightInd w:val="0"/>
              <w:snapToGrid w:val="0"/>
              <w:jc w:val="center"/>
              <w:textAlignment w:val="center"/>
              <w:rPr>
                <w:rFonts w:ascii="宋体"/>
                <w:sz w:val="21"/>
                <w:szCs w:val="21"/>
              </w:rPr>
            </w:pPr>
            <w:r>
              <w:rPr>
                <w:rFonts w:ascii="宋体" w:hAnsi="宋体" w:cs="宋体" w:hint="eastAsia"/>
                <w:sz w:val="21"/>
                <w:szCs w:val="21"/>
              </w:rPr>
              <w:t>估算用水量</w:t>
            </w:r>
            <w:r>
              <w:rPr>
                <w:rFonts w:ascii="宋体" w:hAnsi="宋体" w:cs="宋体"/>
                <w:sz w:val="21"/>
                <w:szCs w:val="21"/>
              </w:rPr>
              <w:t>(m</w:t>
            </w:r>
            <w:r>
              <w:rPr>
                <w:rFonts w:ascii="宋体" w:hAnsi="宋体" w:cs="宋体"/>
                <w:sz w:val="21"/>
                <w:szCs w:val="21"/>
                <w:vertAlign w:val="superscript"/>
              </w:rPr>
              <w:t>3</w:t>
            </w:r>
            <w:r>
              <w:rPr>
                <w:rFonts w:ascii="宋体" w:hAnsi="宋体" w:cs="宋体"/>
                <w:sz w:val="21"/>
                <w:szCs w:val="21"/>
              </w:rPr>
              <w:t>/d)</w:t>
            </w:r>
          </w:p>
        </w:tc>
        <w:tc>
          <w:tcPr>
            <w:tcW w:w="2286" w:type="dxa"/>
            <w:tcBorders>
              <w:top w:val="single" w:sz="12" w:space="0" w:color="auto"/>
            </w:tcBorders>
            <w:vAlign w:val="center"/>
          </w:tcPr>
          <w:p w:rsidR="005E49F7" w:rsidRDefault="005E49F7">
            <w:pPr>
              <w:adjustRightInd w:val="0"/>
              <w:snapToGrid w:val="0"/>
              <w:jc w:val="center"/>
              <w:textAlignment w:val="center"/>
              <w:rPr>
                <w:rFonts w:ascii="宋体"/>
                <w:sz w:val="21"/>
                <w:szCs w:val="21"/>
              </w:rPr>
            </w:pPr>
            <w:r>
              <w:rPr>
                <w:rFonts w:ascii="宋体" w:hAnsi="宋体" w:cs="宋体" w:hint="eastAsia"/>
                <w:sz w:val="21"/>
                <w:szCs w:val="21"/>
              </w:rPr>
              <w:t>水源</w:t>
            </w:r>
          </w:p>
        </w:tc>
      </w:tr>
      <w:tr w:rsidR="005E49F7">
        <w:trPr>
          <w:trHeight w:val="20"/>
          <w:jc w:val="center"/>
        </w:trPr>
        <w:tc>
          <w:tcPr>
            <w:tcW w:w="1079" w:type="dxa"/>
            <w:vAlign w:val="center"/>
          </w:tcPr>
          <w:p w:rsidR="005E49F7" w:rsidRDefault="005E49F7">
            <w:pPr>
              <w:adjustRightInd w:val="0"/>
              <w:snapToGrid w:val="0"/>
              <w:jc w:val="center"/>
              <w:textAlignment w:val="center"/>
              <w:rPr>
                <w:rFonts w:ascii="宋体"/>
                <w:b/>
                <w:bCs/>
                <w:sz w:val="21"/>
                <w:szCs w:val="21"/>
              </w:rPr>
            </w:pPr>
            <w:r>
              <w:rPr>
                <w:rFonts w:ascii="宋体" w:hAnsi="宋体" w:cs="宋体"/>
                <w:b/>
                <w:bCs/>
                <w:sz w:val="21"/>
                <w:szCs w:val="21"/>
              </w:rPr>
              <w:t>1</w:t>
            </w:r>
          </w:p>
        </w:tc>
        <w:tc>
          <w:tcPr>
            <w:tcW w:w="2695" w:type="dxa"/>
            <w:vAlign w:val="center"/>
          </w:tcPr>
          <w:p w:rsidR="005E49F7" w:rsidRDefault="005E49F7">
            <w:pPr>
              <w:adjustRightInd w:val="0"/>
              <w:snapToGrid w:val="0"/>
              <w:jc w:val="center"/>
              <w:textAlignment w:val="center"/>
              <w:rPr>
                <w:rFonts w:ascii="宋体"/>
                <w:b/>
                <w:bCs/>
                <w:sz w:val="21"/>
                <w:szCs w:val="21"/>
              </w:rPr>
            </w:pPr>
            <w:r>
              <w:rPr>
                <w:rFonts w:ascii="宋体" w:hAnsi="宋体" w:cs="宋体"/>
                <w:b/>
                <w:bCs/>
                <w:sz w:val="21"/>
                <w:szCs w:val="21"/>
              </w:rPr>
              <w:t xml:space="preserve"> </w:t>
            </w:r>
            <w:r>
              <w:rPr>
                <w:rFonts w:ascii="宋体" w:hAnsi="宋体" w:cs="宋体" w:hint="eastAsia"/>
                <w:b/>
                <w:bCs/>
                <w:sz w:val="21"/>
                <w:szCs w:val="21"/>
              </w:rPr>
              <w:t>梅州港区</w:t>
            </w:r>
          </w:p>
        </w:tc>
        <w:tc>
          <w:tcPr>
            <w:tcW w:w="2468" w:type="dxa"/>
            <w:vAlign w:val="center"/>
          </w:tcPr>
          <w:p w:rsidR="005E49F7" w:rsidRDefault="005E49F7">
            <w:pPr>
              <w:adjustRightInd w:val="0"/>
              <w:snapToGrid w:val="0"/>
              <w:jc w:val="center"/>
              <w:textAlignment w:val="center"/>
              <w:rPr>
                <w:rFonts w:ascii="宋体"/>
                <w:b/>
                <w:bCs/>
                <w:sz w:val="21"/>
                <w:szCs w:val="21"/>
              </w:rPr>
            </w:pPr>
            <w:r>
              <w:rPr>
                <w:rFonts w:ascii="宋体" w:hAnsi="宋体" w:cs="宋体"/>
                <w:b/>
                <w:bCs/>
                <w:sz w:val="21"/>
                <w:szCs w:val="21"/>
              </w:rPr>
              <w:t xml:space="preserve">  </w:t>
            </w:r>
          </w:p>
        </w:tc>
        <w:tc>
          <w:tcPr>
            <w:tcW w:w="2286" w:type="dxa"/>
            <w:vAlign w:val="center"/>
          </w:tcPr>
          <w:p w:rsidR="005E49F7" w:rsidRDefault="005E49F7">
            <w:pPr>
              <w:adjustRightInd w:val="0"/>
              <w:snapToGrid w:val="0"/>
              <w:jc w:val="center"/>
              <w:textAlignment w:val="center"/>
              <w:rPr>
                <w:rFonts w:ascii="宋体"/>
                <w:b/>
                <w:bCs/>
                <w:sz w:val="21"/>
                <w:szCs w:val="21"/>
              </w:rPr>
            </w:pPr>
          </w:p>
        </w:tc>
      </w:tr>
      <w:tr w:rsidR="005E49F7">
        <w:trPr>
          <w:trHeight w:val="20"/>
          <w:jc w:val="center"/>
        </w:trPr>
        <w:tc>
          <w:tcPr>
            <w:tcW w:w="1079" w:type="dxa"/>
            <w:vAlign w:val="center"/>
          </w:tcPr>
          <w:p w:rsidR="005E49F7" w:rsidRDefault="005E49F7">
            <w:pPr>
              <w:adjustRightInd w:val="0"/>
              <w:snapToGrid w:val="0"/>
              <w:jc w:val="center"/>
              <w:textAlignment w:val="center"/>
              <w:rPr>
                <w:rFonts w:ascii="宋体"/>
                <w:sz w:val="21"/>
                <w:szCs w:val="21"/>
              </w:rPr>
            </w:pPr>
          </w:p>
        </w:tc>
        <w:tc>
          <w:tcPr>
            <w:tcW w:w="2695" w:type="dxa"/>
            <w:vAlign w:val="center"/>
          </w:tcPr>
          <w:p w:rsidR="005E49F7" w:rsidRDefault="005E49F7">
            <w:pPr>
              <w:adjustRightInd w:val="0"/>
              <w:snapToGrid w:val="0"/>
              <w:jc w:val="center"/>
              <w:textAlignment w:val="center"/>
              <w:rPr>
                <w:rFonts w:ascii="宋体"/>
                <w:sz w:val="21"/>
                <w:szCs w:val="21"/>
              </w:rPr>
            </w:pPr>
            <w:r>
              <w:rPr>
                <w:rFonts w:ascii="宋体" w:hAnsi="宋体" w:cs="宋体" w:hint="eastAsia"/>
                <w:sz w:val="21"/>
                <w:szCs w:val="21"/>
              </w:rPr>
              <w:t>松口作业区</w:t>
            </w:r>
          </w:p>
        </w:tc>
        <w:tc>
          <w:tcPr>
            <w:tcW w:w="2468" w:type="dxa"/>
            <w:vAlign w:val="center"/>
          </w:tcPr>
          <w:p w:rsidR="005E49F7" w:rsidRDefault="005E49F7">
            <w:pPr>
              <w:adjustRightInd w:val="0"/>
              <w:snapToGrid w:val="0"/>
              <w:jc w:val="center"/>
              <w:textAlignment w:val="center"/>
              <w:rPr>
                <w:rFonts w:ascii="宋体"/>
                <w:sz w:val="21"/>
                <w:szCs w:val="21"/>
              </w:rPr>
            </w:pPr>
            <w:r>
              <w:rPr>
                <w:rFonts w:ascii="宋体" w:hAnsi="宋体" w:cs="宋体"/>
                <w:sz w:val="21"/>
                <w:szCs w:val="21"/>
              </w:rPr>
              <w:t>2600</w:t>
            </w:r>
          </w:p>
        </w:tc>
        <w:tc>
          <w:tcPr>
            <w:tcW w:w="2286" w:type="dxa"/>
            <w:vAlign w:val="center"/>
          </w:tcPr>
          <w:p w:rsidR="005E49F7" w:rsidRDefault="005E49F7">
            <w:pPr>
              <w:adjustRightInd w:val="0"/>
              <w:snapToGrid w:val="0"/>
              <w:jc w:val="center"/>
              <w:textAlignment w:val="center"/>
              <w:rPr>
                <w:rFonts w:ascii="宋体"/>
                <w:sz w:val="21"/>
                <w:szCs w:val="21"/>
              </w:rPr>
            </w:pPr>
            <w:r>
              <w:rPr>
                <w:rFonts w:ascii="宋体" w:hAnsi="宋体" w:cs="宋体" w:hint="eastAsia"/>
                <w:sz w:val="21"/>
                <w:szCs w:val="21"/>
              </w:rPr>
              <w:t>城镇自来水</w:t>
            </w:r>
          </w:p>
        </w:tc>
      </w:tr>
      <w:tr w:rsidR="005E49F7">
        <w:trPr>
          <w:trHeight w:val="20"/>
          <w:jc w:val="center"/>
        </w:trPr>
        <w:tc>
          <w:tcPr>
            <w:tcW w:w="1079" w:type="dxa"/>
            <w:vAlign w:val="center"/>
          </w:tcPr>
          <w:p w:rsidR="005E49F7" w:rsidRDefault="005E49F7">
            <w:pPr>
              <w:adjustRightInd w:val="0"/>
              <w:snapToGrid w:val="0"/>
              <w:jc w:val="center"/>
              <w:textAlignment w:val="center"/>
              <w:rPr>
                <w:rFonts w:ascii="宋体"/>
                <w:sz w:val="21"/>
                <w:szCs w:val="21"/>
              </w:rPr>
            </w:pPr>
          </w:p>
        </w:tc>
        <w:tc>
          <w:tcPr>
            <w:tcW w:w="2695" w:type="dxa"/>
            <w:vAlign w:val="center"/>
          </w:tcPr>
          <w:p w:rsidR="005E49F7" w:rsidRDefault="005E49F7">
            <w:pPr>
              <w:adjustRightInd w:val="0"/>
              <w:snapToGrid w:val="0"/>
              <w:jc w:val="center"/>
              <w:textAlignment w:val="center"/>
              <w:rPr>
                <w:rFonts w:ascii="宋体"/>
                <w:sz w:val="21"/>
                <w:szCs w:val="21"/>
              </w:rPr>
            </w:pPr>
            <w:r>
              <w:rPr>
                <w:rFonts w:ascii="宋体" w:hAnsi="宋体" w:cs="宋体" w:hint="eastAsia"/>
                <w:sz w:val="21"/>
                <w:szCs w:val="21"/>
              </w:rPr>
              <w:t>雁洋作业区</w:t>
            </w:r>
          </w:p>
        </w:tc>
        <w:tc>
          <w:tcPr>
            <w:tcW w:w="2468" w:type="dxa"/>
            <w:vAlign w:val="center"/>
          </w:tcPr>
          <w:p w:rsidR="005E49F7" w:rsidRDefault="005E49F7">
            <w:pPr>
              <w:adjustRightInd w:val="0"/>
              <w:snapToGrid w:val="0"/>
              <w:jc w:val="center"/>
              <w:textAlignment w:val="center"/>
              <w:rPr>
                <w:rFonts w:ascii="宋体"/>
                <w:sz w:val="21"/>
                <w:szCs w:val="21"/>
              </w:rPr>
            </w:pPr>
            <w:r>
              <w:rPr>
                <w:rFonts w:ascii="宋体" w:hAnsi="宋体" w:cs="宋体"/>
                <w:sz w:val="21"/>
                <w:szCs w:val="21"/>
              </w:rPr>
              <w:t>2500</w:t>
            </w:r>
          </w:p>
        </w:tc>
        <w:tc>
          <w:tcPr>
            <w:tcW w:w="2286" w:type="dxa"/>
            <w:vAlign w:val="center"/>
          </w:tcPr>
          <w:p w:rsidR="005E49F7" w:rsidRDefault="005E49F7">
            <w:pPr>
              <w:adjustRightInd w:val="0"/>
              <w:snapToGrid w:val="0"/>
              <w:jc w:val="center"/>
              <w:textAlignment w:val="center"/>
              <w:rPr>
                <w:rFonts w:ascii="宋体"/>
                <w:sz w:val="21"/>
                <w:szCs w:val="21"/>
              </w:rPr>
            </w:pPr>
            <w:r>
              <w:rPr>
                <w:rFonts w:ascii="宋体" w:hAnsi="宋体" w:cs="宋体" w:hint="eastAsia"/>
                <w:sz w:val="21"/>
                <w:szCs w:val="21"/>
              </w:rPr>
              <w:t>城镇自来水</w:t>
            </w:r>
          </w:p>
        </w:tc>
      </w:tr>
      <w:tr w:rsidR="005E49F7">
        <w:trPr>
          <w:trHeight w:val="20"/>
          <w:jc w:val="center"/>
        </w:trPr>
        <w:tc>
          <w:tcPr>
            <w:tcW w:w="1079" w:type="dxa"/>
            <w:vAlign w:val="center"/>
          </w:tcPr>
          <w:p w:rsidR="005E49F7" w:rsidRDefault="005E49F7">
            <w:pPr>
              <w:adjustRightInd w:val="0"/>
              <w:snapToGrid w:val="0"/>
              <w:jc w:val="center"/>
              <w:textAlignment w:val="center"/>
              <w:rPr>
                <w:rFonts w:ascii="宋体"/>
                <w:b/>
                <w:bCs/>
                <w:sz w:val="21"/>
                <w:szCs w:val="21"/>
              </w:rPr>
            </w:pPr>
            <w:r>
              <w:rPr>
                <w:rFonts w:ascii="宋体" w:hAnsi="宋体" w:cs="宋体"/>
                <w:b/>
                <w:bCs/>
                <w:sz w:val="21"/>
                <w:szCs w:val="21"/>
              </w:rPr>
              <w:t>2</w:t>
            </w:r>
          </w:p>
        </w:tc>
        <w:tc>
          <w:tcPr>
            <w:tcW w:w="2695" w:type="dxa"/>
            <w:vAlign w:val="center"/>
          </w:tcPr>
          <w:p w:rsidR="005E49F7" w:rsidRDefault="005E49F7">
            <w:pPr>
              <w:adjustRightInd w:val="0"/>
              <w:snapToGrid w:val="0"/>
              <w:jc w:val="center"/>
              <w:textAlignment w:val="center"/>
              <w:rPr>
                <w:rFonts w:ascii="宋体"/>
                <w:b/>
                <w:bCs/>
                <w:sz w:val="21"/>
                <w:szCs w:val="21"/>
              </w:rPr>
            </w:pPr>
            <w:r>
              <w:rPr>
                <w:rFonts w:ascii="宋体" w:hAnsi="宋体" w:cs="宋体" w:hint="eastAsia"/>
                <w:b/>
                <w:bCs/>
                <w:sz w:val="21"/>
                <w:szCs w:val="21"/>
              </w:rPr>
              <w:t>大埔港区</w:t>
            </w:r>
          </w:p>
        </w:tc>
        <w:tc>
          <w:tcPr>
            <w:tcW w:w="2468" w:type="dxa"/>
            <w:vAlign w:val="center"/>
          </w:tcPr>
          <w:p w:rsidR="005E49F7" w:rsidRDefault="005E49F7">
            <w:pPr>
              <w:adjustRightInd w:val="0"/>
              <w:snapToGrid w:val="0"/>
              <w:jc w:val="center"/>
              <w:textAlignment w:val="center"/>
              <w:rPr>
                <w:rFonts w:ascii="宋体"/>
                <w:b/>
                <w:bCs/>
                <w:sz w:val="21"/>
                <w:szCs w:val="21"/>
              </w:rPr>
            </w:pPr>
            <w:r>
              <w:rPr>
                <w:rFonts w:ascii="宋体" w:hAnsi="宋体" w:cs="宋体"/>
                <w:b/>
                <w:bCs/>
                <w:sz w:val="21"/>
                <w:szCs w:val="21"/>
              </w:rPr>
              <w:t xml:space="preserve"> </w:t>
            </w:r>
          </w:p>
        </w:tc>
        <w:tc>
          <w:tcPr>
            <w:tcW w:w="2286" w:type="dxa"/>
          </w:tcPr>
          <w:p w:rsidR="005E49F7" w:rsidRDefault="005E49F7">
            <w:pPr>
              <w:jc w:val="center"/>
              <w:rPr>
                <w:rFonts w:ascii="宋体"/>
                <w:sz w:val="21"/>
                <w:szCs w:val="21"/>
              </w:rPr>
            </w:pPr>
          </w:p>
        </w:tc>
      </w:tr>
      <w:tr w:rsidR="005E49F7">
        <w:trPr>
          <w:trHeight w:val="20"/>
          <w:jc w:val="center"/>
        </w:trPr>
        <w:tc>
          <w:tcPr>
            <w:tcW w:w="1079" w:type="dxa"/>
            <w:vAlign w:val="center"/>
          </w:tcPr>
          <w:p w:rsidR="005E49F7" w:rsidRDefault="005E49F7">
            <w:pPr>
              <w:adjustRightInd w:val="0"/>
              <w:snapToGrid w:val="0"/>
              <w:jc w:val="center"/>
              <w:textAlignment w:val="center"/>
              <w:rPr>
                <w:rFonts w:ascii="宋体"/>
                <w:sz w:val="21"/>
                <w:szCs w:val="21"/>
              </w:rPr>
            </w:pPr>
          </w:p>
        </w:tc>
        <w:tc>
          <w:tcPr>
            <w:tcW w:w="2695" w:type="dxa"/>
            <w:vAlign w:val="center"/>
          </w:tcPr>
          <w:p w:rsidR="005E49F7" w:rsidRDefault="005E49F7">
            <w:pPr>
              <w:adjustRightInd w:val="0"/>
              <w:snapToGrid w:val="0"/>
              <w:jc w:val="center"/>
              <w:textAlignment w:val="center"/>
              <w:rPr>
                <w:rFonts w:ascii="宋体"/>
                <w:sz w:val="21"/>
                <w:szCs w:val="21"/>
              </w:rPr>
            </w:pPr>
            <w:r>
              <w:rPr>
                <w:rFonts w:ascii="宋体" w:hAnsi="宋体" w:cs="宋体" w:hint="eastAsia"/>
                <w:sz w:val="21"/>
                <w:szCs w:val="21"/>
              </w:rPr>
              <w:t>三河作业区</w:t>
            </w:r>
          </w:p>
        </w:tc>
        <w:tc>
          <w:tcPr>
            <w:tcW w:w="2468" w:type="dxa"/>
            <w:vAlign w:val="center"/>
          </w:tcPr>
          <w:p w:rsidR="005E49F7" w:rsidRDefault="005E49F7">
            <w:pPr>
              <w:adjustRightInd w:val="0"/>
              <w:snapToGrid w:val="0"/>
              <w:jc w:val="center"/>
              <w:textAlignment w:val="center"/>
              <w:rPr>
                <w:rFonts w:ascii="宋体"/>
                <w:sz w:val="21"/>
                <w:szCs w:val="21"/>
              </w:rPr>
            </w:pPr>
            <w:r>
              <w:rPr>
                <w:rFonts w:ascii="宋体" w:hAnsi="宋体" w:cs="宋体"/>
                <w:sz w:val="21"/>
                <w:szCs w:val="21"/>
              </w:rPr>
              <w:t>1500</w:t>
            </w:r>
          </w:p>
        </w:tc>
        <w:tc>
          <w:tcPr>
            <w:tcW w:w="2286" w:type="dxa"/>
          </w:tcPr>
          <w:p w:rsidR="005E49F7" w:rsidRDefault="005E49F7">
            <w:pPr>
              <w:jc w:val="center"/>
              <w:rPr>
                <w:rFonts w:ascii="宋体"/>
                <w:sz w:val="21"/>
                <w:szCs w:val="21"/>
              </w:rPr>
            </w:pPr>
            <w:r>
              <w:rPr>
                <w:rFonts w:ascii="宋体" w:hAnsi="宋体" w:cs="宋体" w:hint="eastAsia"/>
                <w:sz w:val="21"/>
                <w:szCs w:val="21"/>
              </w:rPr>
              <w:t>城镇自来水</w:t>
            </w:r>
          </w:p>
        </w:tc>
      </w:tr>
      <w:tr w:rsidR="005E49F7">
        <w:trPr>
          <w:trHeight w:val="20"/>
          <w:jc w:val="center"/>
        </w:trPr>
        <w:tc>
          <w:tcPr>
            <w:tcW w:w="1079" w:type="dxa"/>
            <w:tcBorders>
              <w:bottom w:val="single" w:sz="12" w:space="0" w:color="auto"/>
            </w:tcBorders>
            <w:vAlign w:val="center"/>
          </w:tcPr>
          <w:p w:rsidR="005E49F7" w:rsidRDefault="005E49F7">
            <w:pPr>
              <w:adjustRightInd w:val="0"/>
              <w:snapToGrid w:val="0"/>
              <w:jc w:val="center"/>
              <w:textAlignment w:val="center"/>
              <w:rPr>
                <w:rFonts w:ascii="宋体"/>
                <w:sz w:val="21"/>
                <w:szCs w:val="21"/>
              </w:rPr>
            </w:pPr>
          </w:p>
        </w:tc>
        <w:tc>
          <w:tcPr>
            <w:tcW w:w="2695" w:type="dxa"/>
            <w:tcBorders>
              <w:bottom w:val="single" w:sz="12" w:space="0" w:color="auto"/>
            </w:tcBorders>
            <w:vAlign w:val="center"/>
          </w:tcPr>
          <w:p w:rsidR="005E49F7" w:rsidRDefault="005E49F7">
            <w:pPr>
              <w:adjustRightInd w:val="0"/>
              <w:snapToGrid w:val="0"/>
              <w:jc w:val="center"/>
              <w:textAlignment w:val="center"/>
              <w:rPr>
                <w:rFonts w:ascii="宋体"/>
                <w:sz w:val="21"/>
                <w:szCs w:val="21"/>
              </w:rPr>
            </w:pPr>
            <w:r>
              <w:rPr>
                <w:rFonts w:ascii="宋体" w:hAnsi="宋体" w:cs="宋体" w:hint="eastAsia"/>
                <w:sz w:val="21"/>
                <w:szCs w:val="21"/>
              </w:rPr>
              <w:t>茶阳作业区</w:t>
            </w:r>
          </w:p>
        </w:tc>
        <w:tc>
          <w:tcPr>
            <w:tcW w:w="2468" w:type="dxa"/>
            <w:tcBorders>
              <w:bottom w:val="single" w:sz="12" w:space="0" w:color="auto"/>
            </w:tcBorders>
            <w:vAlign w:val="center"/>
          </w:tcPr>
          <w:p w:rsidR="005E49F7" w:rsidRDefault="005E49F7">
            <w:pPr>
              <w:adjustRightInd w:val="0"/>
              <w:snapToGrid w:val="0"/>
              <w:jc w:val="center"/>
              <w:textAlignment w:val="center"/>
              <w:rPr>
                <w:rFonts w:ascii="宋体"/>
                <w:sz w:val="21"/>
                <w:szCs w:val="21"/>
              </w:rPr>
            </w:pPr>
            <w:r>
              <w:rPr>
                <w:rFonts w:ascii="宋体" w:hAnsi="宋体" w:cs="宋体"/>
                <w:sz w:val="21"/>
                <w:szCs w:val="21"/>
              </w:rPr>
              <w:t>2400</w:t>
            </w:r>
          </w:p>
        </w:tc>
        <w:tc>
          <w:tcPr>
            <w:tcW w:w="2286" w:type="dxa"/>
            <w:tcBorders>
              <w:bottom w:val="single" w:sz="12" w:space="0" w:color="auto"/>
            </w:tcBorders>
          </w:tcPr>
          <w:p w:rsidR="005E49F7" w:rsidRDefault="005E49F7">
            <w:pPr>
              <w:jc w:val="center"/>
              <w:rPr>
                <w:rFonts w:ascii="宋体"/>
                <w:sz w:val="21"/>
                <w:szCs w:val="21"/>
              </w:rPr>
            </w:pPr>
            <w:r>
              <w:rPr>
                <w:rFonts w:ascii="宋体" w:hAnsi="宋体" w:cs="宋体" w:hint="eastAsia"/>
                <w:sz w:val="21"/>
                <w:szCs w:val="21"/>
              </w:rPr>
              <w:t>城镇自来水</w:t>
            </w:r>
          </w:p>
        </w:tc>
      </w:tr>
    </w:tbl>
    <w:p w:rsidR="005E49F7" w:rsidRDefault="005E49F7" w:rsidP="005E49F7">
      <w:pPr>
        <w:adjustRightInd w:val="0"/>
        <w:snapToGrid w:val="0"/>
        <w:spacing w:line="360" w:lineRule="auto"/>
        <w:ind w:firstLineChars="192" w:firstLine="31680"/>
        <w:rPr>
          <w:sz w:val="28"/>
          <w:szCs w:val="28"/>
        </w:rPr>
      </w:pPr>
    </w:p>
    <w:p w:rsidR="005E49F7" w:rsidRDefault="005E49F7" w:rsidP="00D23914">
      <w:pPr>
        <w:pStyle w:val="11"/>
        <w:ind w:firstLine="31680"/>
      </w:pPr>
      <w:r>
        <w:rPr>
          <w:rFonts w:cs="宋体" w:hint="eastAsia"/>
        </w:rPr>
        <w:t>规划旧城区排水体制采用截流式合流制，新建地区采用分流制排水体制。梅州市现有江南污水处理厂（处理规模为</w:t>
      </w:r>
      <w:r>
        <w:t>3</w:t>
      </w:r>
      <w:r>
        <w:rPr>
          <w:rFonts w:cs="宋体" w:hint="eastAsia"/>
        </w:rPr>
        <w:t>万</w:t>
      </w:r>
      <w:r>
        <w:t>t/</w:t>
      </w:r>
      <w:r>
        <w:rPr>
          <w:rFonts w:cs="宋体" w:hint="eastAsia"/>
        </w:rPr>
        <w:t>日），梅县新县城污水处理厂（处理规模为</w:t>
      </w:r>
      <w:r>
        <w:t>3</w:t>
      </w:r>
      <w:r>
        <w:rPr>
          <w:rFonts w:cs="宋体" w:hint="eastAsia"/>
        </w:rPr>
        <w:t>万</w:t>
      </w:r>
      <w:r>
        <w:t>t/</w:t>
      </w:r>
      <w:r>
        <w:rPr>
          <w:rFonts w:cs="宋体" w:hint="eastAsia"/>
        </w:rPr>
        <w:t>日），大埔县湖寮镇污水处理厂（处理规模为</w:t>
      </w:r>
      <w:r>
        <w:t>2</w:t>
      </w:r>
      <w:r>
        <w:rPr>
          <w:rFonts w:cs="宋体" w:hint="eastAsia"/>
        </w:rPr>
        <w:t>万</w:t>
      </w:r>
      <w:r>
        <w:t>t/</w:t>
      </w:r>
      <w:r>
        <w:rPr>
          <w:rFonts w:cs="宋体" w:hint="eastAsia"/>
        </w:rPr>
        <w:t>日）等污水处理厂；到</w:t>
      </w:r>
      <w:r>
        <w:t>2020</w:t>
      </w:r>
      <w:r>
        <w:rPr>
          <w:rFonts w:cs="宋体" w:hint="eastAsia"/>
        </w:rPr>
        <w:t>年新建梅县雁阳镇污水处理厂（处理规模为</w:t>
      </w:r>
      <w:r>
        <w:t>1</w:t>
      </w:r>
      <w:r>
        <w:rPr>
          <w:rFonts w:cs="宋体" w:hint="eastAsia"/>
        </w:rPr>
        <w:t>万</w:t>
      </w:r>
      <w:r>
        <w:t>t/</w:t>
      </w:r>
      <w:r>
        <w:rPr>
          <w:rFonts w:cs="宋体" w:hint="eastAsia"/>
        </w:rPr>
        <w:t>日），梅县南口镇污水处理厂（处理规模为</w:t>
      </w:r>
      <w:r>
        <w:t>1</w:t>
      </w:r>
      <w:r>
        <w:rPr>
          <w:rFonts w:cs="宋体" w:hint="eastAsia"/>
        </w:rPr>
        <w:t>万</w:t>
      </w:r>
      <w:r>
        <w:t>t/</w:t>
      </w:r>
      <w:r>
        <w:rPr>
          <w:rFonts w:cs="宋体" w:hint="eastAsia"/>
        </w:rPr>
        <w:t>日），梅县丙村镇污水处理厂（处理规模为</w:t>
      </w:r>
      <w:r>
        <w:t>2</w:t>
      </w:r>
      <w:r>
        <w:rPr>
          <w:rFonts w:cs="宋体" w:hint="eastAsia"/>
        </w:rPr>
        <w:t>万</w:t>
      </w:r>
      <w:r>
        <w:t>t/</w:t>
      </w:r>
      <w:r>
        <w:rPr>
          <w:rFonts w:cs="宋体" w:hint="eastAsia"/>
        </w:rPr>
        <w:t>日），梅县松口镇污水处理厂（处理规模为</w:t>
      </w:r>
      <w:r>
        <w:t>2</w:t>
      </w:r>
      <w:r>
        <w:rPr>
          <w:rFonts w:cs="宋体" w:hint="eastAsia"/>
        </w:rPr>
        <w:t>万</w:t>
      </w:r>
      <w:r>
        <w:t>t/</w:t>
      </w:r>
      <w:r>
        <w:rPr>
          <w:rFonts w:cs="宋体" w:hint="eastAsia"/>
        </w:rPr>
        <w:t>日），梅县畲江镇污水处理厂（处理规模为</w:t>
      </w:r>
      <w:r>
        <w:t>1</w:t>
      </w:r>
      <w:r>
        <w:rPr>
          <w:rFonts w:cs="宋体" w:hint="eastAsia"/>
        </w:rPr>
        <w:t>万</w:t>
      </w:r>
      <w:r>
        <w:t>t/</w:t>
      </w:r>
      <w:r>
        <w:rPr>
          <w:rFonts w:cs="宋体" w:hint="eastAsia"/>
        </w:rPr>
        <w:t>日），梅县新县城污水处理厂二期（处理规模为</w:t>
      </w:r>
      <w:r>
        <w:t>2</w:t>
      </w:r>
      <w:r>
        <w:rPr>
          <w:rFonts w:cs="宋体" w:hint="eastAsia"/>
        </w:rPr>
        <w:t>万</w:t>
      </w:r>
      <w:r>
        <w:t>t/</w:t>
      </w:r>
      <w:r>
        <w:rPr>
          <w:rFonts w:cs="宋体" w:hint="eastAsia"/>
        </w:rPr>
        <w:t>日），大埔县茶阳镇污水处理厂（处理规模为</w:t>
      </w:r>
      <w:r>
        <w:t>2</w:t>
      </w:r>
      <w:r>
        <w:rPr>
          <w:rFonts w:cs="宋体" w:hint="eastAsia"/>
        </w:rPr>
        <w:t>万</w:t>
      </w:r>
      <w:r>
        <w:t>t/</w:t>
      </w:r>
      <w:r>
        <w:rPr>
          <w:rFonts w:cs="宋体" w:hint="eastAsia"/>
        </w:rPr>
        <w:t>日），大埔县三河镇污水处理厂（处理规模为</w:t>
      </w:r>
      <w:r>
        <w:t>1</w:t>
      </w:r>
      <w:r>
        <w:rPr>
          <w:rFonts w:cs="宋体" w:hint="eastAsia"/>
        </w:rPr>
        <w:t>万</w:t>
      </w:r>
      <w:r>
        <w:t>t/</w:t>
      </w:r>
      <w:r>
        <w:rPr>
          <w:rFonts w:cs="宋体" w:hint="eastAsia"/>
        </w:rPr>
        <w:t>日），大埔县高陂镇污水处理厂（处理规模为</w:t>
      </w:r>
      <w:r>
        <w:t>1</w:t>
      </w:r>
      <w:r>
        <w:rPr>
          <w:rFonts w:cs="宋体" w:hint="eastAsia"/>
        </w:rPr>
        <w:t>万</w:t>
      </w:r>
      <w:r>
        <w:t>t/</w:t>
      </w:r>
      <w:r>
        <w:rPr>
          <w:rFonts w:cs="宋体" w:hint="eastAsia"/>
        </w:rPr>
        <w:t>日），大埔县湖寮镇污水处理厂二期（处理规模为</w:t>
      </w:r>
      <w:r>
        <w:t>2</w:t>
      </w:r>
      <w:r>
        <w:rPr>
          <w:rFonts w:cs="宋体" w:hint="eastAsia"/>
        </w:rPr>
        <w:t>万</w:t>
      </w:r>
      <w:r>
        <w:t>t/</w:t>
      </w:r>
      <w:r>
        <w:rPr>
          <w:rFonts w:cs="宋体" w:hint="eastAsia"/>
        </w:rPr>
        <w:t>日）等污水处理厂，到</w:t>
      </w:r>
      <w:r>
        <w:t>2020</w:t>
      </w:r>
      <w:r>
        <w:rPr>
          <w:rFonts w:cs="宋体" w:hint="eastAsia"/>
        </w:rPr>
        <w:t>年梅州市全市污水处理能力将达到</w:t>
      </w:r>
      <w:r>
        <w:t>85</w:t>
      </w:r>
      <w:r>
        <w:rPr>
          <w:rFonts w:cs="宋体" w:hint="eastAsia"/>
        </w:rPr>
        <w:t>万</w:t>
      </w:r>
      <w:r>
        <w:t>t/</w:t>
      </w:r>
      <w:r>
        <w:rPr>
          <w:rFonts w:cs="宋体" w:hint="eastAsia"/>
        </w:rPr>
        <w:t>日。</w:t>
      </w:r>
    </w:p>
    <w:p w:rsidR="005E49F7" w:rsidRDefault="005E49F7" w:rsidP="00D23914">
      <w:pPr>
        <w:pStyle w:val="11"/>
        <w:ind w:firstLine="31680"/>
      </w:pPr>
      <w:r>
        <w:rPr>
          <w:rFonts w:cs="宋体" w:hint="eastAsia"/>
        </w:rPr>
        <w:t>各港区雨水、生活污水、生产污水分流排水系统。对不需处理地表雨水，通过排水系统直接排入江中；对散货雨淋形成的污水、清洗车辆及含油污水、船舶废弃物及洗舱、化学品残留物产生的污水，先经港区自行进行沉淀、油水分离后，再集中排入市政污水管网，经污水厂处理达标后统一排放。</w:t>
      </w:r>
    </w:p>
    <w:p w:rsidR="005E49F7" w:rsidRDefault="005E49F7" w:rsidP="00D23914">
      <w:pPr>
        <w:pStyle w:val="11"/>
        <w:ind w:firstLine="31680"/>
      </w:pPr>
      <w:r>
        <w:rPr>
          <w:rFonts w:cs="宋体" w:hint="eastAsia"/>
        </w:rPr>
        <w:t>城市消防供水规划主要由城市供水系统承担，供水管网以环状布置为主，管径不小于</w:t>
      </w:r>
      <w:r>
        <w:t>150mm,</w:t>
      </w:r>
      <w:r>
        <w:rPr>
          <w:rFonts w:cs="宋体" w:hint="eastAsia"/>
        </w:rPr>
        <w:t>消火栓的布置按照间距不大于</w:t>
      </w:r>
      <w:r>
        <w:t>120m</w:t>
      </w:r>
      <w:r>
        <w:rPr>
          <w:rFonts w:cs="宋体" w:hint="eastAsia"/>
        </w:rPr>
        <w:t>。港区消防主要依托城市（城镇）消防，同时，根据建筑防火规范及港口工程消防要求，港区消防用水由生活、生产、消防合一的给水管网供给，采用临时高压制。各港区在不能依托城市消防站的情况下应自设消防站，并配备水上消防设施，保障港区水上及陆域消防安全。</w:t>
      </w:r>
    </w:p>
    <w:p w:rsidR="005E49F7" w:rsidRDefault="005E49F7" w:rsidP="00D23914">
      <w:pPr>
        <w:pStyle w:val="ad"/>
        <w:spacing w:beforeLines="0" w:afterLines="0"/>
        <w:ind w:firstLine="31680"/>
      </w:pPr>
      <w:r>
        <w:rPr>
          <w:rFonts w:cs="黑体" w:hint="eastAsia"/>
        </w:rPr>
        <w:t>四、通信规划</w:t>
      </w:r>
    </w:p>
    <w:p w:rsidR="005E49F7" w:rsidRDefault="005E49F7" w:rsidP="00D23914">
      <w:pPr>
        <w:spacing w:line="360" w:lineRule="auto"/>
        <w:ind w:firstLineChars="225" w:firstLine="31680"/>
      </w:pPr>
      <w:r>
        <w:rPr>
          <w:rFonts w:cs="宋体" w:hint="eastAsia"/>
        </w:rPr>
        <w:t>港口通信是实现港口现代化的重要工具。港口通信既应与交通专用通信网连接，也应与电信公用通信网连接。港口通信系统的建设，原则上要以电信公用网为依托，采用租、建结合的建设方式。</w:t>
      </w:r>
    </w:p>
    <w:p w:rsidR="005E49F7" w:rsidRDefault="005E49F7" w:rsidP="00D23914">
      <w:pPr>
        <w:spacing w:line="360" w:lineRule="auto"/>
        <w:ind w:firstLineChars="225" w:firstLine="31680"/>
      </w:pPr>
      <w:r>
        <w:rPr>
          <w:rFonts w:cs="宋体" w:hint="eastAsia"/>
        </w:rPr>
        <w:t>根据港口通信系统特点及要求，各港区考虑设置有线通信及无线通信系统。</w:t>
      </w:r>
    </w:p>
    <w:p w:rsidR="005E49F7" w:rsidRDefault="005E49F7">
      <w:pPr>
        <w:spacing w:line="360" w:lineRule="auto"/>
      </w:pPr>
      <w:r>
        <w:t xml:space="preserve">    1.</w:t>
      </w:r>
      <w:r>
        <w:rPr>
          <w:rFonts w:cs="宋体" w:hint="eastAsia"/>
        </w:rPr>
        <w:t>有线通信</w:t>
      </w:r>
    </w:p>
    <w:p w:rsidR="005E49F7" w:rsidRDefault="005E49F7">
      <w:pPr>
        <w:spacing w:line="360" w:lineRule="auto"/>
      </w:pPr>
      <w:r>
        <w:t xml:space="preserve">    </w:t>
      </w:r>
      <w:r>
        <w:rPr>
          <w:rFonts w:cs="宋体" w:hint="eastAsia"/>
        </w:rPr>
        <w:t>在各港区办公区域设置模块局，敷设港区通信线路至邻近市话局的中继线路，中继方式应同电信部门协商。港内通信电缆全部采用管沟或管道方式敷设。</w:t>
      </w:r>
    </w:p>
    <w:p w:rsidR="005E49F7" w:rsidRDefault="005E49F7">
      <w:pPr>
        <w:spacing w:line="360" w:lineRule="auto"/>
      </w:pPr>
      <w:r>
        <w:t xml:space="preserve">    2.</w:t>
      </w:r>
      <w:r>
        <w:rPr>
          <w:rFonts w:cs="宋体" w:hint="eastAsia"/>
        </w:rPr>
        <w:t>无线通信</w:t>
      </w:r>
    </w:p>
    <w:p w:rsidR="005E49F7" w:rsidRDefault="005E49F7">
      <w:pPr>
        <w:spacing w:line="360" w:lineRule="auto"/>
      </w:pPr>
      <w:r>
        <w:t xml:space="preserve">    </w:t>
      </w:r>
      <w:r>
        <w:rPr>
          <w:rFonts w:cs="宋体" w:hint="eastAsia"/>
        </w:rPr>
        <w:t>为保障船舶航行安全，提高港口工作效率，在港口建设的同时，应同步建设相应配套的无线通信设施。各港区无线通信工程考虑设置港口甚高频（</w:t>
      </w:r>
      <w:r>
        <w:t>VHF</w:t>
      </w:r>
      <w:r>
        <w:rPr>
          <w:rFonts w:cs="宋体" w:hint="eastAsia"/>
        </w:rPr>
        <w:t>）无线电话岸台和特高频（</w:t>
      </w:r>
      <w:r>
        <w:t>UHF</w:t>
      </w:r>
      <w:r>
        <w:rPr>
          <w:rFonts w:cs="宋体" w:hint="eastAsia"/>
        </w:rPr>
        <w:t>）无线集群通信系统。</w:t>
      </w:r>
    </w:p>
    <w:p w:rsidR="005E49F7" w:rsidRDefault="005E49F7">
      <w:pPr>
        <w:spacing w:line="360" w:lineRule="auto"/>
      </w:pPr>
      <w:r>
        <w:t xml:space="preserve">    </w:t>
      </w:r>
      <w:r>
        <w:rPr>
          <w:rFonts w:cs="宋体" w:hint="eastAsia"/>
        </w:rPr>
        <w:t>各港区建设数字集群生产调度通信系统</w:t>
      </w:r>
      <w:r>
        <w:t>1</w:t>
      </w:r>
      <w:r>
        <w:rPr>
          <w:rFonts w:cs="宋体" w:hint="eastAsia"/>
        </w:rPr>
        <w:t>套，以满足对港区作业机械和流动作业人员的调度指挥，该系统由基站和用户终端组成。基站建立在办公区域；港区流动机械和车辆配备车载移动台，流动作业人员配备手持机。</w:t>
      </w:r>
    </w:p>
    <w:p w:rsidR="005E49F7" w:rsidRDefault="005E49F7" w:rsidP="00D23914">
      <w:pPr>
        <w:spacing w:line="360" w:lineRule="auto"/>
        <w:ind w:firstLineChars="192" w:firstLine="31680"/>
      </w:pPr>
      <w:r>
        <w:rPr>
          <w:rFonts w:cs="宋体" w:hint="eastAsia"/>
        </w:rPr>
        <w:t>为了满足港区船岸调度通信业务的需要，各港区建立甚高频无线电话系统，设置甚高频无线电话台</w:t>
      </w:r>
      <w:r>
        <w:t>2</w:t>
      </w:r>
      <w:r>
        <w:rPr>
          <w:rFonts w:cs="宋体" w:hint="eastAsia"/>
        </w:rPr>
        <w:t>套（</w:t>
      </w:r>
      <w:r>
        <w:t>1</w:t>
      </w:r>
      <w:r>
        <w:rPr>
          <w:rFonts w:cs="宋体" w:hint="eastAsia"/>
        </w:rPr>
        <w:t>主</w:t>
      </w:r>
      <w:r>
        <w:t>1</w:t>
      </w:r>
      <w:r>
        <w:rPr>
          <w:rFonts w:cs="宋体" w:hint="eastAsia"/>
        </w:rPr>
        <w:t>备）。甚高频无线电话台经有</w:t>
      </w:r>
      <w:r>
        <w:t>/</w:t>
      </w:r>
      <w:r>
        <w:rPr>
          <w:rFonts w:cs="宋体" w:hint="eastAsia"/>
        </w:rPr>
        <w:t>无线转接器与交换中心程控交换机用户端相连，以实现港区船舶与港区相关部门的通信。</w:t>
      </w:r>
    </w:p>
    <w:p w:rsidR="005E49F7" w:rsidRDefault="005E49F7" w:rsidP="00D23914">
      <w:pPr>
        <w:pStyle w:val="11"/>
        <w:ind w:firstLine="31680"/>
        <w:rPr>
          <w:rFonts w:ascii="宋体" w:hAnsi="宋体" w:cs="宋体"/>
        </w:rPr>
      </w:pPr>
      <w:r>
        <w:rPr>
          <w:rFonts w:ascii="宋体" w:hAnsi="宋体" w:cs="宋体" w:hint="eastAsia"/>
        </w:rPr>
        <w:t>中远距离的船岸通信由当地海岸电台和</w:t>
      </w:r>
      <w:r>
        <w:rPr>
          <w:rFonts w:ascii="宋体" w:hAnsi="宋体" w:cs="宋体"/>
        </w:rPr>
        <w:t>INMARSAT</w:t>
      </w:r>
      <w:r>
        <w:rPr>
          <w:rFonts w:ascii="宋体" w:hAnsi="宋体" w:cs="宋体" w:hint="eastAsia"/>
        </w:rPr>
        <w:t>海事卫星系统提供。</w:t>
      </w:r>
      <w:r>
        <w:rPr>
          <w:rFonts w:ascii="宋体" w:hAnsi="宋体" w:cs="宋体"/>
        </w:rPr>
        <w:t xml:space="preserve"> </w:t>
      </w:r>
    </w:p>
    <w:p w:rsidR="005E49F7" w:rsidRDefault="005E49F7" w:rsidP="00D23914">
      <w:pPr>
        <w:pStyle w:val="11"/>
        <w:ind w:firstLine="31680"/>
        <w:rPr>
          <w:rFonts w:ascii="宋体" w:cs="宋体"/>
        </w:rPr>
      </w:pPr>
      <w:r>
        <w:rPr>
          <w:rFonts w:ascii="宋体" w:hAnsi="宋体" w:cs="宋体" w:hint="eastAsia"/>
        </w:rPr>
        <w:t>五、信息规划</w:t>
      </w:r>
    </w:p>
    <w:p w:rsidR="005E49F7" w:rsidRDefault="005E49F7" w:rsidP="00D23914">
      <w:pPr>
        <w:adjustRightInd w:val="0"/>
        <w:snapToGrid w:val="0"/>
        <w:spacing w:line="360" w:lineRule="auto"/>
        <w:ind w:firstLineChars="200" w:firstLine="31680"/>
        <w:rPr>
          <w:rFonts w:ascii="宋体" w:cs="宋体"/>
        </w:rPr>
      </w:pPr>
      <w:r>
        <w:rPr>
          <w:rFonts w:ascii="宋体" w:hAnsi="宋体" w:cs="宋体" w:hint="eastAsia"/>
        </w:rPr>
        <w:t>信息化建设应采取统筹规划、资源共享、分步实施、联合建设，充分运用市场运作机制，在盘活存量的基础上，全面推进梅州港信息化建设的协调发展。利用信息技术对现有生产经营方式进行改造，提高港口生产效率；建设为港口生产经营管理和宏观决策服务的信息系统，提高港口内部的管理水平；营造畅通的信息服务环境，提高港口对外服务能力。</w:t>
      </w:r>
    </w:p>
    <w:p w:rsidR="005E49F7" w:rsidRDefault="005E49F7" w:rsidP="00D23914">
      <w:pPr>
        <w:adjustRightInd w:val="0"/>
        <w:snapToGrid w:val="0"/>
        <w:spacing w:line="360" w:lineRule="auto"/>
        <w:ind w:firstLineChars="200" w:firstLine="31680"/>
        <w:rPr>
          <w:rFonts w:ascii="宋体" w:cs="宋体"/>
        </w:rPr>
      </w:pPr>
      <w:r>
        <w:rPr>
          <w:rFonts w:ascii="宋体" w:hAnsi="宋体" w:cs="宋体" w:hint="eastAsia"/>
        </w:rPr>
        <w:t>建成梅州港的电子数据交换（</w:t>
      </w:r>
      <w:r>
        <w:rPr>
          <w:rFonts w:ascii="宋体" w:hAnsi="宋体" w:cs="宋体"/>
        </w:rPr>
        <w:t>EDI</w:t>
      </w:r>
      <w:r>
        <w:rPr>
          <w:rFonts w:ascii="宋体" w:hAnsi="宋体" w:cs="宋体" w:hint="eastAsia"/>
        </w:rPr>
        <w:t>）中心，建立丰富、高质量的信息资源库，开发梅州港的决策支持系统，全面建设满足市场需求并适应港口发展的信息系统，促进港口集约化水平和综合效益的全面提高。集成企业内部相关业务信息系统，建设相关的企业资源规划（</w:t>
      </w:r>
      <w:r>
        <w:rPr>
          <w:rFonts w:ascii="宋体" w:hAnsi="宋体" w:cs="宋体"/>
        </w:rPr>
        <w:t>ERP</w:t>
      </w:r>
      <w:r>
        <w:rPr>
          <w:rFonts w:ascii="宋体" w:hAnsi="宋体" w:cs="宋体" w:hint="eastAsia"/>
        </w:rPr>
        <w:t>）系统，初步建立港口内部的决策系统，提高港口信息系统应用水平，促进港口企业生产效率和管理决策水平的提高。适应航运市场的发展，统一规划，建设覆盖港口的网络平台；建设功能完善的</w:t>
      </w:r>
      <w:r>
        <w:rPr>
          <w:rFonts w:ascii="宋体" w:hAnsi="宋体" w:cs="宋体"/>
        </w:rPr>
        <w:t>EDI</w:t>
      </w:r>
      <w:r>
        <w:rPr>
          <w:rFonts w:ascii="宋体" w:hAnsi="宋体" w:cs="宋体" w:hint="eastAsia"/>
        </w:rPr>
        <w:t>系统和相关业务之间的工作流管理系统（</w:t>
      </w:r>
      <w:r>
        <w:rPr>
          <w:rFonts w:ascii="宋体" w:hAnsi="宋体" w:cs="宋体"/>
        </w:rPr>
        <w:t>WFMS</w:t>
      </w:r>
      <w:r>
        <w:rPr>
          <w:rFonts w:ascii="宋体" w:hAnsi="宋体" w:cs="宋体" w:hint="eastAsia"/>
        </w:rPr>
        <w:t>），建成港口的电子商务平台和物流管理平台。制定信息系统运行、管理、维护相关的制度、规范及标准，加快综合性人才的培养，进一步提高港口管理和生产人员的信息化水平，加快港口信息化的顺利推进。</w:t>
      </w:r>
    </w:p>
    <w:p w:rsidR="005E49F7" w:rsidRDefault="005E49F7" w:rsidP="00D23914">
      <w:pPr>
        <w:pStyle w:val="ad"/>
        <w:spacing w:beforeLines="0" w:afterLines="0"/>
        <w:ind w:firstLine="31680"/>
        <w:rPr>
          <w:rFonts w:ascii="宋体" w:eastAsia="宋体" w:hAnsi="宋体"/>
        </w:rPr>
      </w:pPr>
      <w:r>
        <w:rPr>
          <w:rFonts w:ascii="宋体" w:eastAsia="宋体" w:hAnsi="宋体" w:cs="宋体" w:hint="eastAsia"/>
        </w:rPr>
        <w:t>六、港口支持系统规划</w:t>
      </w:r>
    </w:p>
    <w:p w:rsidR="005E49F7" w:rsidRDefault="005E49F7" w:rsidP="00D23914">
      <w:pPr>
        <w:pStyle w:val="11"/>
        <w:ind w:firstLine="31680"/>
        <w:rPr>
          <w:rFonts w:ascii="宋体" w:cs="宋体"/>
        </w:rPr>
      </w:pPr>
      <w:r>
        <w:rPr>
          <w:rFonts w:ascii="宋体" w:hAnsi="宋体" w:cs="宋体"/>
        </w:rPr>
        <w:t>1</w:t>
      </w:r>
      <w:r>
        <w:rPr>
          <w:rFonts w:ascii="宋体" w:hAnsi="宋体" w:cs="宋体" w:hint="eastAsia"/>
        </w:rPr>
        <w:t>、水上安全监督规划</w:t>
      </w:r>
    </w:p>
    <w:p w:rsidR="005E49F7" w:rsidRDefault="005E49F7" w:rsidP="00717E23">
      <w:pPr>
        <w:pStyle w:val="BodyText"/>
        <w:adjustRightInd w:val="0"/>
        <w:snapToGrid w:val="0"/>
        <w:spacing w:line="360" w:lineRule="auto"/>
        <w:ind w:firstLineChars="200" w:firstLine="31680"/>
        <w:rPr>
          <w:rFonts w:ascii="宋体" w:cs="宋体"/>
          <w:kern w:val="2"/>
        </w:rPr>
      </w:pPr>
      <w:bookmarkStart w:id="4" w:name="_Toc313490942"/>
      <w:r>
        <w:rPr>
          <w:rFonts w:ascii="宋体" w:hAnsi="宋体" w:cs="宋体" w:hint="eastAsia"/>
          <w:kern w:val="2"/>
        </w:rPr>
        <w:t>规划目标：形成全方位覆盖、全天候运行、快速反应的现代化水上安全保障监督体系：实现海事资源和监管手段的整合，统一数据标准，统一显示平台，统一动态监管，统一决策指挥；充分利用高新技术手段，实现全辖区水域交通的可视化监控；增加海事力量，改善技术装备，提高应急快速反应能力；海事整体装备水平和运行效率满足港口码头及营运船舶的安全运输需要。</w:t>
      </w:r>
    </w:p>
    <w:p w:rsidR="005E49F7" w:rsidRDefault="005E49F7" w:rsidP="00D23914">
      <w:pPr>
        <w:adjustRightInd w:val="0"/>
        <w:snapToGrid w:val="0"/>
        <w:spacing w:line="360" w:lineRule="auto"/>
        <w:ind w:firstLineChars="200" w:firstLine="31680"/>
        <w:rPr>
          <w:rFonts w:ascii="宋体" w:cs="宋体"/>
        </w:rPr>
      </w:pPr>
      <w:r>
        <w:rPr>
          <w:rFonts w:ascii="宋体" w:hAnsi="宋体" w:cs="宋体" w:hint="eastAsia"/>
        </w:rPr>
        <w:t>为实现水上安全监督规划目标，提出规划方案如下：</w:t>
      </w:r>
    </w:p>
    <w:p w:rsidR="005E49F7" w:rsidRDefault="005E49F7" w:rsidP="00D23914">
      <w:pPr>
        <w:adjustRightInd w:val="0"/>
        <w:snapToGrid w:val="0"/>
        <w:spacing w:line="360" w:lineRule="auto"/>
        <w:ind w:firstLineChars="200" w:firstLine="31680"/>
        <w:rPr>
          <w:rFonts w:ascii="宋体" w:cs="宋体"/>
        </w:rPr>
      </w:pPr>
      <w:r>
        <w:rPr>
          <w:rFonts w:ascii="宋体" w:hAnsi="宋体" w:cs="宋体" w:hint="eastAsia"/>
        </w:rPr>
        <w:t>建设安全监督工作船码头，布置设备仓库、堆场、综合业务用房等陆域设施。</w:t>
      </w:r>
    </w:p>
    <w:p w:rsidR="005E49F7" w:rsidRDefault="005E49F7" w:rsidP="00D23914">
      <w:pPr>
        <w:adjustRightInd w:val="0"/>
        <w:snapToGrid w:val="0"/>
        <w:spacing w:line="360" w:lineRule="auto"/>
        <w:ind w:firstLineChars="200" w:firstLine="31680"/>
        <w:rPr>
          <w:rFonts w:ascii="宋体" w:cs="宋体"/>
        </w:rPr>
      </w:pPr>
      <w:r>
        <w:rPr>
          <w:rFonts w:ascii="宋体" w:hAnsi="宋体" w:cs="宋体" w:hint="eastAsia"/>
        </w:rPr>
        <w:t>建设满足船员管理需要的船员注册中心和船员考试中心，为改善航运环境提供良好的服务。</w:t>
      </w:r>
    </w:p>
    <w:p w:rsidR="005E49F7" w:rsidRDefault="005E49F7" w:rsidP="00D23914">
      <w:pPr>
        <w:adjustRightInd w:val="0"/>
        <w:snapToGrid w:val="0"/>
        <w:spacing w:line="360" w:lineRule="auto"/>
        <w:ind w:firstLineChars="200" w:firstLine="31680"/>
        <w:rPr>
          <w:rFonts w:ascii="宋体" w:cs="宋体"/>
        </w:rPr>
      </w:pPr>
      <w:r>
        <w:rPr>
          <w:rFonts w:ascii="宋体" w:hAnsi="宋体" w:cs="宋体" w:hint="eastAsia"/>
        </w:rPr>
        <w:t>以满足港口的安全管理监督为前提，在梅江、汀江、韩江等不同河道配布数量适中的监督站及监督站签证点。</w:t>
      </w:r>
    </w:p>
    <w:p w:rsidR="005E49F7" w:rsidRDefault="005E49F7" w:rsidP="00D23914">
      <w:pPr>
        <w:adjustRightInd w:val="0"/>
        <w:snapToGrid w:val="0"/>
        <w:spacing w:line="360" w:lineRule="auto"/>
        <w:ind w:firstLineChars="200" w:firstLine="31680"/>
        <w:rPr>
          <w:rFonts w:ascii="宋体" w:cs="宋体"/>
        </w:rPr>
      </w:pPr>
      <w:r>
        <w:rPr>
          <w:rFonts w:ascii="宋体" w:hAnsi="宋体" w:cs="宋体" w:hint="eastAsia"/>
        </w:rPr>
        <w:t>加强助航安全设施及航道标志标牌的配布，主要村镇设地点、地名、距离牌，桥梁设置净高提示牌，枢纽、船闸、引航道设置提示牌等，为船舶提供安全航行信息。</w:t>
      </w:r>
    </w:p>
    <w:p w:rsidR="005E49F7" w:rsidRDefault="005E49F7" w:rsidP="00D23914">
      <w:pPr>
        <w:pStyle w:val="BodyText"/>
        <w:adjustRightInd w:val="0"/>
        <w:snapToGrid w:val="0"/>
        <w:spacing w:line="360" w:lineRule="auto"/>
        <w:ind w:firstLineChars="200" w:firstLine="31680"/>
        <w:rPr>
          <w:rFonts w:ascii="宋体" w:cs="宋体"/>
          <w:kern w:val="2"/>
        </w:rPr>
      </w:pPr>
      <w:r>
        <w:rPr>
          <w:rFonts w:ascii="宋体" w:hAnsi="宋体" w:cs="宋体" w:hint="eastAsia"/>
          <w:kern w:val="2"/>
        </w:rPr>
        <w:t>根据发展需要，适时配备港口码头安全生产和水上交通安全监督管理所需的其它配套设施、装备、器材等。</w:t>
      </w:r>
    </w:p>
    <w:p w:rsidR="005E49F7" w:rsidRDefault="005E49F7" w:rsidP="00D23914">
      <w:pPr>
        <w:pStyle w:val="BodyText"/>
        <w:spacing w:line="360" w:lineRule="auto"/>
        <w:ind w:firstLineChars="200" w:firstLine="31680"/>
        <w:rPr>
          <w:rFonts w:ascii="宋体" w:cs="宋体"/>
          <w:kern w:val="2"/>
        </w:rPr>
      </w:pPr>
      <w:r>
        <w:rPr>
          <w:rFonts w:ascii="宋体" w:hAnsi="宋体" w:cs="宋体"/>
          <w:kern w:val="2"/>
        </w:rPr>
        <w:t>2</w:t>
      </w:r>
      <w:r>
        <w:rPr>
          <w:rFonts w:ascii="宋体" w:hAnsi="宋体" w:cs="宋体" w:hint="eastAsia"/>
          <w:kern w:val="2"/>
        </w:rPr>
        <w:t>、其它配套设施规划</w:t>
      </w:r>
    </w:p>
    <w:p w:rsidR="005E49F7" w:rsidRDefault="005E49F7" w:rsidP="00D23914">
      <w:pPr>
        <w:adjustRightInd w:val="0"/>
        <w:snapToGrid w:val="0"/>
        <w:spacing w:beforeLines="50" w:line="360" w:lineRule="auto"/>
        <w:ind w:firstLineChars="200" w:firstLine="31680"/>
        <w:rPr>
          <w:rFonts w:ascii="宋体" w:cs="宋体"/>
        </w:rPr>
      </w:pPr>
      <w:r>
        <w:rPr>
          <w:rFonts w:ascii="宋体" w:hAnsi="宋体" w:cs="宋体" w:hint="eastAsia"/>
        </w:rPr>
        <w:t>除海事、安监等设施外，与港口生产、管理关系密切的支持系统如应急基地和海关、边防、工作船等船舶停靠的码头原则上结合各港区、作业区的规划方案，选择合适的地点进行布置。码头岸线长度原则上长约</w:t>
      </w:r>
      <w:r>
        <w:rPr>
          <w:rFonts w:ascii="宋体" w:hAnsi="宋体" w:cs="宋体"/>
        </w:rPr>
        <w:t>50</w:t>
      </w:r>
      <w:r>
        <w:rPr>
          <w:rFonts w:ascii="宋体" w:hAnsi="宋体" w:cs="宋体" w:hint="eastAsia"/>
        </w:rPr>
        <w:t>～</w:t>
      </w:r>
      <w:r>
        <w:rPr>
          <w:rFonts w:ascii="宋体" w:hAnsi="宋体" w:cs="宋体"/>
        </w:rPr>
        <w:t>60m</w:t>
      </w:r>
      <w:r>
        <w:rPr>
          <w:rFonts w:ascii="宋体" w:hAnsi="宋体" w:cs="宋体" w:hint="eastAsia"/>
        </w:rPr>
        <w:t>，陆域纵深结合当地实际情况确定。</w:t>
      </w:r>
      <w:bookmarkEnd w:id="4"/>
    </w:p>
    <w:p w:rsidR="005E49F7" w:rsidRDefault="005E49F7">
      <w:pPr>
        <w:spacing w:line="360" w:lineRule="auto"/>
        <w:jc w:val="left"/>
        <w:outlineLvl w:val="1"/>
        <w:rPr>
          <w:rFonts w:ascii="宋体"/>
          <w:b/>
          <w:bCs/>
          <w:sz w:val="28"/>
          <w:szCs w:val="28"/>
        </w:rPr>
      </w:pPr>
      <w:bookmarkStart w:id="5" w:name="_Toc8383"/>
      <w:r>
        <w:rPr>
          <w:rFonts w:ascii="宋体" w:hAnsi="宋体" w:cs="宋体"/>
          <w:b/>
          <w:bCs/>
          <w:sz w:val="28"/>
          <w:szCs w:val="28"/>
        </w:rPr>
        <w:t>1.3</w:t>
      </w:r>
      <w:r>
        <w:rPr>
          <w:rFonts w:ascii="宋体" w:hAnsi="宋体" w:cs="宋体" w:hint="eastAsia"/>
          <w:b/>
          <w:bCs/>
          <w:sz w:val="28"/>
          <w:szCs w:val="28"/>
        </w:rPr>
        <w:t>规划的功能特点</w:t>
      </w:r>
      <w:bookmarkEnd w:id="5"/>
    </w:p>
    <w:p w:rsidR="005E49F7" w:rsidRDefault="005E49F7" w:rsidP="00D23914">
      <w:pPr>
        <w:pStyle w:val="1"/>
        <w:ind w:firstLine="31680"/>
        <w:rPr>
          <w:kern w:val="2"/>
        </w:rPr>
      </w:pPr>
      <w:r>
        <w:rPr>
          <w:rFonts w:cs="宋体" w:hint="eastAsia"/>
          <w:kern w:val="2"/>
        </w:rPr>
        <w:t>根据梅州港的性质，应具备装卸储存、中转换装、多式联运、运输组织管理、临港产业开发、仓储、商贸、现代物流、客运旅游等功能。</w:t>
      </w:r>
    </w:p>
    <w:p w:rsidR="005E49F7" w:rsidRDefault="005E49F7">
      <w:pPr>
        <w:spacing w:line="360" w:lineRule="auto"/>
        <w:jc w:val="left"/>
        <w:outlineLvl w:val="1"/>
        <w:rPr>
          <w:rFonts w:ascii="宋体"/>
          <w:b/>
          <w:bCs/>
          <w:sz w:val="28"/>
          <w:szCs w:val="28"/>
        </w:rPr>
      </w:pPr>
      <w:bookmarkStart w:id="6" w:name="_Toc22757"/>
      <w:r>
        <w:rPr>
          <w:rFonts w:ascii="宋体" w:hAnsi="宋体" w:cs="宋体"/>
          <w:b/>
          <w:bCs/>
          <w:sz w:val="28"/>
          <w:szCs w:val="28"/>
        </w:rPr>
        <w:t>1.4</w:t>
      </w:r>
      <w:r>
        <w:rPr>
          <w:rFonts w:ascii="宋体" w:hAnsi="宋体" w:cs="宋体" w:hint="eastAsia"/>
          <w:b/>
          <w:bCs/>
          <w:sz w:val="28"/>
          <w:szCs w:val="28"/>
        </w:rPr>
        <w:t>规划的环境合理性综合论证</w:t>
      </w:r>
      <w:bookmarkEnd w:id="6"/>
    </w:p>
    <w:p w:rsidR="005E49F7" w:rsidRDefault="005E49F7" w:rsidP="00D23914">
      <w:pPr>
        <w:numPr>
          <w:ilvl w:val="0"/>
          <w:numId w:val="5"/>
        </w:numPr>
        <w:spacing w:line="360" w:lineRule="auto"/>
        <w:ind w:firstLineChars="200" w:firstLine="31680"/>
        <w:outlineLvl w:val="0"/>
        <w:rPr>
          <w:rFonts w:ascii="宋体"/>
        </w:rPr>
      </w:pPr>
      <w:bookmarkStart w:id="7" w:name="_Toc21939"/>
      <w:r>
        <w:rPr>
          <w:rFonts w:ascii="宋体" w:hAnsi="宋体" w:cs="宋体" w:hint="eastAsia"/>
        </w:rPr>
        <w:t>与《中华人民共和国水污染防治法》的相符性分析</w:t>
      </w:r>
      <w:bookmarkEnd w:id="7"/>
    </w:p>
    <w:p w:rsidR="005E49F7" w:rsidRDefault="005E49F7" w:rsidP="00D23914">
      <w:pPr>
        <w:pStyle w:val="1"/>
        <w:ind w:firstLine="31680"/>
        <w:rPr>
          <w:rFonts w:ascii="宋体"/>
        </w:rPr>
      </w:pPr>
      <w:r>
        <w:rPr>
          <w:rFonts w:ascii="宋体" w:hAnsi="宋体" w:cs="宋体" w:hint="eastAsia"/>
        </w:rPr>
        <w:t>根据《广东省地表水环境功能区划表（河流部分）》、《梅州市饮用水水源地环境保护专项规划（</w:t>
      </w:r>
      <w:r>
        <w:rPr>
          <w:rFonts w:ascii="宋体" w:hAnsi="宋体" w:cs="宋体"/>
        </w:rPr>
        <w:t>2007-2020</w:t>
      </w:r>
      <w:r>
        <w:rPr>
          <w:rFonts w:ascii="宋体" w:hAnsi="宋体" w:cs="宋体" w:hint="eastAsia"/>
        </w:rPr>
        <w:t>年）》，梅州市一级饮用水源保护区，在本规划确定的梅州港区梅城作业区旅游客运码头岸线的上游，多数港区和作业区分布在水功能农业用水区划的范围内，少数港区在饮用水和景观用水区内。同时，在开发利用区的饮用水源地一级保护区内，根据要求，没有规划港口岸线的开发利用；在饮用水源地二级保护区内，没有布置对水质有影响的港区和作业区。岸线利用、港区及作业区布置与河流功能区划、梅州市生活饮用水地表水源保护区划，协调一致。</w:t>
      </w:r>
    </w:p>
    <w:p w:rsidR="005E49F7" w:rsidRDefault="005E49F7" w:rsidP="00D23914">
      <w:pPr>
        <w:numPr>
          <w:ilvl w:val="0"/>
          <w:numId w:val="5"/>
        </w:numPr>
        <w:spacing w:line="360" w:lineRule="auto"/>
        <w:ind w:firstLineChars="200" w:firstLine="31680"/>
        <w:outlineLvl w:val="0"/>
        <w:rPr>
          <w:rFonts w:ascii="宋体"/>
        </w:rPr>
      </w:pPr>
      <w:bookmarkStart w:id="8" w:name="_Toc3774"/>
      <w:r>
        <w:rPr>
          <w:rFonts w:ascii="宋体" w:hAnsi="宋体" w:cs="宋体" w:hint="eastAsia"/>
        </w:rPr>
        <w:t>与《广东省饮用水源水质保护条例》的相符性分析</w:t>
      </w:r>
      <w:bookmarkEnd w:id="8"/>
    </w:p>
    <w:p w:rsidR="005E49F7" w:rsidRDefault="005E49F7" w:rsidP="00D23914">
      <w:pPr>
        <w:pStyle w:val="111"/>
        <w:ind w:firstLine="31680"/>
        <w:rPr>
          <w:rFonts w:ascii="宋体"/>
        </w:rPr>
      </w:pPr>
      <w:r>
        <w:rPr>
          <w:rFonts w:ascii="宋体" w:hAnsi="宋体" w:cs="宋体" w:hint="eastAsia"/>
        </w:rPr>
        <w:t>《梅州港总体规划》与《广东省饮用水源水质保护条例》的相符性分析与《中华人民共和国水污染防治法》相近（见</w:t>
      </w:r>
      <w:r>
        <w:rPr>
          <w:rFonts w:ascii="宋体" w:hAnsi="宋体" w:cs="宋体"/>
        </w:rPr>
        <w:t>8.1.1.1</w:t>
      </w:r>
      <w:r>
        <w:rPr>
          <w:rFonts w:ascii="宋体" w:hAnsi="宋体" w:cs="宋体" w:hint="eastAsia"/>
        </w:rPr>
        <w:t>分析），在此不在复述。《梅州港总体规划》在实施建设中应严格遵照《广东省饮用水源水质保护条例》的规定，禁止在饮用水源保护区内设置排污口，禁止排放</w:t>
      </w:r>
      <w:r>
        <w:rPr>
          <w:rFonts w:ascii="宋体" w:hAnsi="宋体" w:cs="宋体" w:hint="eastAsia"/>
          <w:kern w:val="0"/>
        </w:rPr>
        <w:t>、倾倒、堆放、填埋、焚烧剧毒物品</w:t>
      </w:r>
      <w:r>
        <w:rPr>
          <w:rFonts w:ascii="宋体" w:hAnsi="宋体" w:cs="宋体" w:hint="eastAsia"/>
        </w:rPr>
        <w:t>、放射性物质以及油类、酸碱类物质、工业废渣、生活垃圾、医疗废物、粪便及其他废弃物，禁止从事船舶修理和拆解作业；同时严禁利用码头等设施装卸油类、垃圾、粪便、煤、有毒有害物品。</w:t>
      </w:r>
    </w:p>
    <w:p w:rsidR="005E49F7" w:rsidRDefault="005E49F7" w:rsidP="00D23914">
      <w:pPr>
        <w:numPr>
          <w:ilvl w:val="0"/>
          <w:numId w:val="5"/>
        </w:numPr>
        <w:spacing w:line="360" w:lineRule="auto"/>
        <w:ind w:firstLineChars="200" w:firstLine="31680"/>
        <w:outlineLvl w:val="0"/>
        <w:rPr>
          <w:rFonts w:ascii="宋体"/>
        </w:rPr>
      </w:pPr>
      <w:bookmarkStart w:id="9" w:name="_Toc14251"/>
      <w:r>
        <w:rPr>
          <w:rFonts w:ascii="宋体" w:hAnsi="宋体" w:cs="宋体" w:hint="eastAsia"/>
        </w:rPr>
        <w:t>与《广东省主体功能区规划》协调性分析</w:t>
      </w:r>
      <w:bookmarkEnd w:id="9"/>
    </w:p>
    <w:p w:rsidR="005E49F7" w:rsidRDefault="005E49F7" w:rsidP="00D23914">
      <w:pPr>
        <w:spacing w:line="360" w:lineRule="auto"/>
        <w:ind w:firstLineChars="200" w:firstLine="31680"/>
        <w:rPr>
          <w:rFonts w:ascii="宋体"/>
        </w:rPr>
      </w:pPr>
      <w:r>
        <w:rPr>
          <w:rFonts w:ascii="宋体" w:hAnsi="宋体" w:cs="宋体" w:hint="eastAsia"/>
        </w:rPr>
        <w:t>《广东省主体功能区规划》将梅州市功能定位为：广东绿色崛起先行市、广东文化旅游特色区、世界客都、韩江上游重要的生态屏障和水源保护地、粤东北的区域中心城市和交通枢纽。侧重在绿色生态旅游业和物流运输枢纽的方向。《梅州港总体规划》中梅州港功能性质定位为装卸储存、中转换装、多式联运、运输组织管理、临港产业开发、仓储、商贸、现代物流、客运旅游等。建议坚持资源、环境和生态保护优先原则，合理调整、适度开发，对规划中的旅游码头的规模和数量进一步优化调整。符合《广东省主体功能区规划》将梅州市功能规划要求。</w:t>
      </w:r>
    </w:p>
    <w:p w:rsidR="005E49F7" w:rsidRDefault="005E49F7" w:rsidP="00D23914">
      <w:pPr>
        <w:pStyle w:val="af0"/>
        <w:ind w:firstLine="31680"/>
        <w:outlineLvl w:val="3"/>
        <w:rPr>
          <w:rFonts w:ascii="宋体"/>
        </w:rPr>
      </w:pPr>
      <w:r>
        <w:rPr>
          <w:rFonts w:ascii="宋体" w:hAnsi="宋体" w:cs="宋体" w:hint="eastAsia"/>
        </w:rPr>
        <w:t>（</w:t>
      </w:r>
      <w:r>
        <w:rPr>
          <w:rFonts w:ascii="宋体" w:hAnsi="宋体" w:cs="宋体"/>
        </w:rPr>
        <w:t>4</w:t>
      </w:r>
      <w:r>
        <w:rPr>
          <w:rFonts w:ascii="宋体" w:hAnsi="宋体" w:cs="宋体" w:hint="eastAsia"/>
        </w:rPr>
        <w:t>）与《梅州市国民经济和社会发展第十三个五年规划纲要》的协调性分析</w:t>
      </w:r>
    </w:p>
    <w:p w:rsidR="005E49F7" w:rsidRDefault="005E49F7" w:rsidP="00D23914">
      <w:pPr>
        <w:spacing w:line="360" w:lineRule="auto"/>
        <w:ind w:firstLineChars="200" w:firstLine="31680"/>
        <w:outlineLvl w:val="0"/>
        <w:rPr>
          <w:rFonts w:ascii="宋体"/>
        </w:rPr>
      </w:pPr>
      <w:bookmarkStart w:id="10" w:name="_Toc22888"/>
      <w:r>
        <w:rPr>
          <w:rFonts w:ascii="宋体" w:hAnsi="宋体" w:cs="宋体" w:hint="eastAsia"/>
        </w:rPr>
        <w:t>梅州港总体规划与《梅州市国民经济和社会发展第十三个五年规划纲要》的目标相一致，也是实现梅州市，乃至广东省国民经济和社会发展第十三个五年规划社会经济发展目标的不可或缺的因素。</w:t>
      </w:r>
      <w:bookmarkEnd w:id="10"/>
    </w:p>
    <w:p w:rsidR="005E49F7" w:rsidRDefault="005E49F7" w:rsidP="00D23914">
      <w:pPr>
        <w:numPr>
          <w:ilvl w:val="0"/>
          <w:numId w:val="6"/>
        </w:numPr>
        <w:spacing w:line="360" w:lineRule="auto"/>
        <w:ind w:firstLineChars="200" w:firstLine="31680"/>
        <w:outlineLvl w:val="0"/>
        <w:rPr>
          <w:rFonts w:ascii="宋体"/>
        </w:rPr>
      </w:pPr>
      <w:bookmarkStart w:id="11" w:name="_Toc5269"/>
      <w:r>
        <w:rPr>
          <w:rFonts w:ascii="宋体" w:hAnsi="宋体" w:cs="宋体" w:hint="eastAsia"/>
        </w:rPr>
        <w:t>与《广东省内河航运发展规划》协调性分析</w:t>
      </w:r>
      <w:bookmarkEnd w:id="11"/>
    </w:p>
    <w:p w:rsidR="005E49F7" w:rsidRDefault="005E49F7" w:rsidP="00717E23">
      <w:pPr>
        <w:pStyle w:val="111"/>
        <w:ind w:firstLine="31680"/>
        <w:rPr>
          <w:rFonts w:ascii="宋体"/>
        </w:rPr>
      </w:pPr>
      <w:r>
        <w:rPr>
          <w:rFonts w:ascii="宋体" w:hAnsi="宋体" w:cs="宋体" w:hint="eastAsia"/>
        </w:rPr>
        <w:t>本项目的建设符合广东省内河航运以科学发展观为指导，以合理开发利用航运资源、加快提高内河航运的服务能力与水平为宗旨，到</w:t>
      </w:r>
      <w:r>
        <w:rPr>
          <w:rFonts w:ascii="宋体" w:hAnsi="宋体" w:cs="宋体"/>
        </w:rPr>
        <w:t>2020</w:t>
      </w:r>
      <w:r>
        <w:rPr>
          <w:rFonts w:ascii="宋体" w:hAnsi="宋体" w:cs="宋体" w:hint="eastAsia"/>
        </w:rPr>
        <w:t>年，全面建成西江干流及珠江三角洲“三纵三横三线”高等级航道网，以及北江、韩江、韩江干线航道和相配套的航道支持保障系统，基本实现内河航道管理现代化的发展总体目标的要求。但梅州港总体规划》中梅江梅城至五华河段航道尺寸、梅城下游段为单竹窝枢纽至三河坝的航道等级和尺寸、韩江干流三河坝至潮州枢纽航道的航道等级及尺寸不符合《广东省内河航运发展规划》规划要求。梅江下游游段单竹窝枢纽至三河坝和石窟河设计航道尺寸不符合《内河通航标准》（</w:t>
      </w:r>
      <w:r>
        <w:rPr>
          <w:rFonts w:ascii="宋体" w:hAnsi="宋体" w:cs="宋体"/>
        </w:rPr>
        <w:t>GB501399-2004</w:t>
      </w:r>
      <w:r>
        <w:rPr>
          <w:rFonts w:ascii="宋体" w:hAnsi="宋体" w:cs="宋体" w:hint="eastAsia"/>
        </w:rPr>
        <w:t>）的要求，其余均符合。</w:t>
      </w:r>
      <w:bookmarkStart w:id="12" w:name="_Toc313490946"/>
    </w:p>
    <w:bookmarkEnd w:id="12"/>
    <w:p w:rsidR="005E49F7" w:rsidRDefault="005E49F7" w:rsidP="00D23914">
      <w:pPr>
        <w:pStyle w:val="111"/>
        <w:ind w:firstLine="31680"/>
        <w:rPr>
          <w:rFonts w:ascii="宋体"/>
        </w:rPr>
      </w:pPr>
      <w:r>
        <w:rPr>
          <w:rFonts w:ascii="宋体" w:hAnsi="宋体" w:cs="宋体" w:hint="eastAsia"/>
        </w:rPr>
        <w:t>（</w:t>
      </w:r>
      <w:r>
        <w:rPr>
          <w:rFonts w:ascii="宋体" w:hAnsi="宋体" w:cs="宋体"/>
        </w:rPr>
        <w:t>6</w:t>
      </w:r>
      <w:r>
        <w:rPr>
          <w:rFonts w:ascii="宋体" w:hAnsi="宋体" w:cs="宋体" w:hint="eastAsia"/>
        </w:rPr>
        <w:t>）与《梅州市土地利用总体规划（</w:t>
      </w:r>
      <w:r>
        <w:rPr>
          <w:rFonts w:ascii="宋体" w:hAnsi="宋体" w:cs="宋体"/>
        </w:rPr>
        <w:t>2006-2020</w:t>
      </w:r>
      <w:r>
        <w:rPr>
          <w:rFonts w:ascii="宋体" w:hAnsi="宋体" w:cs="宋体" w:hint="eastAsia"/>
        </w:rPr>
        <w:t>年）》相符性分析</w:t>
      </w:r>
    </w:p>
    <w:p w:rsidR="005E49F7" w:rsidRDefault="005E49F7" w:rsidP="00D23914">
      <w:pPr>
        <w:pStyle w:val="11"/>
        <w:ind w:firstLine="31680"/>
        <w:rPr>
          <w:rFonts w:ascii="宋体"/>
        </w:rPr>
      </w:pPr>
      <w:r>
        <w:rPr>
          <w:rFonts w:ascii="宋体" w:hAnsi="宋体" w:cs="宋体" w:hint="eastAsia"/>
        </w:rPr>
        <w:t>《梅州港总体规划》中港区码头用地规划与《梅州市土地利用规划（</w:t>
      </w:r>
      <w:r>
        <w:rPr>
          <w:rFonts w:ascii="宋体" w:hAnsi="宋体" w:cs="宋体"/>
        </w:rPr>
        <w:t>2006-2020</w:t>
      </w:r>
      <w:r>
        <w:rPr>
          <w:rFonts w:ascii="宋体" w:hAnsi="宋体" w:cs="宋体" w:hint="eastAsia"/>
        </w:rPr>
        <w:t>年）》没有明显冲突。</w:t>
      </w:r>
    </w:p>
    <w:p w:rsidR="005E49F7" w:rsidRDefault="005E49F7" w:rsidP="00D23914">
      <w:pPr>
        <w:pStyle w:val="11"/>
        <w:numPr>
          <w:ilvl w:val="0"/>
          <w:numId w:val="7"/>
        </w:numPr>
        <w:ind w:firstLine="31680"/>
        <w:rPr>
          <w:rFonts w:ascii="宋体"/>
        </w:rPr>
      </w:pPr>
      <w:r>
        <w:rPr>
          <w:rFonts w:ascii="宋体" w:hAnsi="宋体" w:cs="宋体" w:hint="eastAsia"/>
        </w:rPr>
        <w:t>与《梅州市城市总体规划（</w:t>
      </w:r>
      <w:r>
        <w:rPr>
          <w:rFonts w:ascii="宋体" w:hAnsi="宋体" w:cs="宋体"/>
        </w:rPr>
        <w:t>2011-2020</w:t>
      </w:r>
      <w:r>
        <w:rPr>
          <w:rFonts w:ascii="宋体" w:hAnsi="宋体" w:cs="宋体" w:hint="eastAsia"/>
        </w:rPr>
        <w:t>）》协调性分析</w:t>
      </w:r>
    </w:p>
    <w:p w:rsidR="005E49F7" w:rsidRDefault="005E49F7" w:rsidP="00D23914">
      <w:pPr>
        <w:pStyle w:val="11"/>
        <w:ind w:firstLine="31680"/>
        <w:rPr>
          <w:rFonts w:ascii="宋体"/>
        </w:rPr>
      </w:pPr>
      <w:r>
        <w:rPr>
          <w:rFonts w:ascii="宋体" w:hAnsi="宋体" w:cs="宋体" w:hint="eastAsia"/>
        </w:rPr>
        <w:t>港口规划充分考虑了《梅州市城市总体规划（</w:t>
      </w:r>
      <w:r>
        <w:rPr>
          <w:rFonts w:ascii="宋体" w:hAnsi="宋体" w:cs="宋体"/>
        </w:rPr>
        <w:t>2011-2020</w:t>
      </w:r>
      <w:r>
        <w:rPr>
          <w:rFonts w:ascii="宋体" w:hAnsi="宋体" w:cs="宋体" w:hint="eastAsia"/>
        </w:rPr>
        <w:t>）》的要求，特别是对于沿江分布的城镇，分别规划布置了相关的港区、作业区、港点和货运码头，以满足货物运输和交流的要求。</w:t>
      </w:r>
    </w:p>
    <w:p w:rsidR="005E49F7" w:rsidRDefault="005E49F7" w:rsidP="00D23914">
      <w:pPr>
        <w:pStyle w:val="11"/>
        <w:ind w:firstLine="31680"/>
        <w:rPr>
          <w:rFonts w:ascii="宋体"/>
        </w:rPr>
      </w:pPr>
      <w:r>
        <w:rPr>
          <w:rFonts w:ascii="宋体" w:hAnsi="宋体" w:cs="宋体" w:hint="eastAsia"/>
        </w:rPr>
        <w:t>因此，本规划发展充分考虑了城市总体规划的要求，利用梅州市丰富的江河资源，充分发挥港口发展对本市经济发展的促进作用，港口发展与城市发展基本协调。</w:t>
      </w:r>
    </w:p>
    <w:p w:rsidR="005E49F7" w:rsidRDefault="005E49F7" w:rsidP="00D23914">
      <w:pPr>
        <w:pStyle w:val="11"/>
        <w:numPr>
          <w:ilvl w:val="0"/>
          <w:numId w:val="7"/>
        </w:numPr>
        <w:ind w:firstLine="31680"/>
        <w:rPr>
          <w:rFonts w:ascii="宋体"/>
        </w:rPr>
      </w:pPr>
      <w:r>
        <w:rPr>
          <w:rFonts w:ascii="宋体" w:hAnsi="宋体" w:cs="宋体" w:hint="eastAsia"/>
        </w:rPr>
        <w:t>与《梅州市综合交通运输体系发展“十三五”规划》的协调性分析</w:t>
      </w:r>
    </w:p>
    <w:p w:rsidR="005E49F7" w:rsidRDefault="005E49F7" w:rsidP="00D23914">
      <w:pPr>
        <w:pStyle w:val="1"/>
        <w:ind w:firstLine="31680"/>
        <w:jc w:val="left"/>
        <w:rPr>
          <w:rFonts w:ascii="宋体"/>
        </w:rPr>
      </w:pPr>
      <w:r>
        <w:rPr>
          <w:rFonts w:ascii="宋体" w:hAnsi="宋体" w:cs="宋体" w:hint="eastAsia"/>
        </w:rPr>
        <w:t>本次规划对梅州市辖韩江、梅江及汀江岸线进行了规划，由梅州港区和大埔港区组成，以梅城、雁洋、松口、新铺、畲江、三河、茶阳、高陂作业区为基础，以各市县港点为补充，大中小泊位相结合，预测到</w:t>
      </w:r>
      <w:r>
        <w:rPr>
          <w:rFonts w:ascii="宋体" w:hAnsi="宋体" w:cs="宋体"/>
        </w:rPr>
        <w:t>2020</w:t>
      </w:r>
      <w:r>
        <w:rPr>
          <w:rFonts w:ascii="宋体" w:hAnsi="宋体" w:cs="宋体" w:hint="eastAsia"/>
        </w:rPr>
        <w:t>年和</w:t>
      </w:r>
      <w:r>
        <w:rPr>
          <w:rFonts w:ascii="宋体" w:hAnsi="宋体" w:cs="宋体"/>
        </w:rPr>
        <w:t>2030</w:t>
      </w:r>
      <w:r>
        <w:rPr>
          <w:rFonts w:ascii="宋体" w:hAnsi="宋体" w:cs="宋体" w:hint="eastAsia"/>
        </w:rPr>
        <w:t>年，梅州港吞吐量分别为</w:t>
      </w:r>
      <w:r>
        <w:rPr>
          <w:rFonts w:ascii="宋体" w:hAnsi="宋体" w:cs="宋体"/>
        </w:rPr>
        <w:t>320</w:t>
      </w:r>
      <w:r>
        <w:rPr>
          <w:rFonts w:ascii="宋体" w:hAnsi="宋体" w:cs="宋体" w:hint="eastAsia"/>
        </w:rPr>
        <w:t>万吨和</w:t>
      </w:r>
      <w:r>
        <w:rPr>
          <w:rFonts w:ascii="宋体" w:hAnsi="宋体" w:cs="宋体"/>
        </w:rPr>
        <w:t>690</w:t>
      </w:r>
      <w:r>
        <w:rPr>
          <w:rFonts w:ascii="宋体" w:hAnsi="宋体" w:cs="宋体" w:hint="eastAsia"/>
        </w:rPr>
        <w:t>万吨。港口建设是综合交通运输体系的重要组成部分，是多种运输方式联系的节点，港口的合理布局、功能区划及货物的水上输运将进一步完善梅州市综合交通运输体系。因而，本次梅州港港口总体规划与《梅州市综合交通运输体系发展“十三五”规划》发展目标、港口码头规划是一致的，两个规划是相符的。</w:t>
      </w:r>
    </w:p>
    <w:p w:rsidR="005E49F7" w:rsidRDefault="005E49F7" w:rsidP="00D23914">
      <w:pPr>
        <w:pStyle w:val="11"/>
        <w:numPr>
          <w:ilvl w:val="0"/>
          <w:numId w:val="7"/>
        </w:numPr>
        <w:ind w:firstLine="31680"/>
        <w:rPr>
          <w:rFonts w:ascii="宋体"/>
        </w:rPr>
      </w:pPr>
      <w:r>
        <w:rPr>
          <w:rFonts w:ascii="宋体" w:hAnsi="宋体" w:cs="宋体" w:hint="eastAsia"/>
        </w:rPr>
        <w:t>与《梅州市国民经济和社会发展第十三个五年规划纲要》协调性分析</w:t>
      </w:r>
    </w:p>
    <w:p w:rsidR="005E49F7" w:rsidRDefault="005E49F7" w:rsidP="00D23914">
      <w:pPr>
        <w:pStyle w:val="11"/>
        <w:ind w:firstLine="31680"/>
        <w:rPr>
          <w:rFonts w:ascii="宋体"/>
        </w:rPr>
      </w:pPr>
      <w:r>
        <w:rPr>
          <w:rFonts w:ascii="宋体" w:hAnsi="宋体" w:cs="宋体"/>
        </w:rPr>
        <w:t xml:space="preserve">  </w:t>
      </w:r>
      <w:r>
        <w:rPr>
          <w:rFonts w:ascii="宋体" w:hAnsi="宋体" w:cs="宋体" w:hint="eastAsia"/>
        </w:rPr>
        <w:t>梅州港总体规划的实施将极大地改变梅州市水运交通的面貌，加快形成公路、铁路、水运协调发展的现代化立体交通网体系，使梅州港成为多功能、综合性的地方重要港口。因此，梅州港总体规划与《梅州市国民经济和社会发展第十三个五年规划纲要》振兴“黄金水道”的目标，建设韩江客货运码头，同时以创建国家“旅游休闲示范城市”为抓手，进一步提升完善城市旅游集散中心等旅游配套设施和服务建设，打造“快旅慢游”的快捷旅游交通体系相一致，也是实现梅州市，乃至广东省国民经济和社会发展第十三个五年规划社会经济发展目标的不可或缺的因素。</w:t>
      </w:r>
    </w:p>
    <w:p w:rsidR="005E49F7" w:rsidRDefault="005E49F7" w:rsidP="00D23914">
      <w:pPr>
        <w:numPr>
          <w:ilvl w:val="0"/>
          <w:numId w:val="7"/>
        </w:numPr>
        <w:spacing w:line="360" w:lineRule="auto"/>
        <w:ind w:firstLineChars="200" w:firstLine="31680"/>
        <w:outlineLvl w:val="0"/>
        <w:rPr>
          <w:rFonts w:ascii="宋体"/>
        </w:rPr>
      </w:pPr>
      <w:bookmarkStart w:id="13" w:name="_Toc24600"/>
      <w:r>
        <w:rPr>
          <w:rFonts w:ascii="宋体" w:hAnsi="宋体" w:cs="宋体" w:hint="eastAsia"/>
        </w:rPr>
        <w:t>与省级环保专项规划协调性分析</w:t>
      </w:r>
      <w:bookmarkEnd w:id="13"/>
    </w:p>
    <w:p w:rsidR="005E49F7" w:rsidRDefault="005E49F7" w:rsidP="00D23914">
      <w:pPr>
        <w:pStyle w:val="11"/>
        <w:ind w:firstLine="31680"/>
        <w:rPr>
          <w:rFonts w:ascii="宋体"/>
        </w:rPr>
      </w:pPr>
      <w:r>
        <w:rPr>
          <w:rFonts w:ascii="宋体" w:hAnsi="宋体" w:cs="宋体" w:hint="eastAsia"/>
        </w:rPr>
        <w:t>省级环保专项规划主要有《广东省环境保护与生态建设“十三五”规划》，《广东省环境保护规划纲要（</w:t>
      </w:r>
      <w:r>
        <w:rPr>
          <w:rFonts w:ascii="宋体" w:hAnsi="宋体" w:cs="宋体"/>
        </w:rPr>
        <w:t>2006~2020</w:t>
      </w:r>
      <w:r>
        <w:rPr>
          <w:rFonts w:ascii="宋体" w:hAnsi="宋体" w:cs="宋体" w:hint="eastAsia"/>
        </w:rPr>
        <w:t>）》。本规划涉及到的港口规划总体上与广东省生态环境保护目标没有较大的冲突。同时，水运与公路、铁路运输相比，具有耗能低，效率高的优点，与节约资源和能源的方针是协调的。只要规划对与生态环境敏感目标有冲突的子规划进行适当调整，避让重要的生态敏感目标，规划实施后，采取适当的环保措施，该规划与相关的省级环保专项规划基本上协调。</w:t>
      </w:r>
    </w:p>
    <w:p w:rsidR="005E49F7" w:rsidRDefault="005E49F7" w:rsidP="00D23914">
      <w:pPr>
        <w:pStyle w:val="ad"/>
        <w:spacing w:beforeLines="0" w:afterLines="0"/>
        <w:ind w:firstLine="31680"/>
        <w:outlineLvl w:val="9"/>
        <w:rPr>
          <w:rFonts w:ascii="宋体" w:eastAsia="宋体" w:hAnsi="宋体"/>
        </w:rPr>
      </w:pPr>
      <w:r>
        <w:rPr>
          <w:rFonts w:ascii="宋体" w:eastAsia="宋体" w:hAnsi="宋体" w:cs="宋体" w:hint="eastAsia"/>
        </w:rPr>
        <w:t>（</w:t>
      </w:r>
      <w:r>
        <w:rPr>
          <w:rFonts w:ascii="宋体" w:eastAsia="宋体" w:hAnsi="宋体" w:cs="宋体"/>
        </w:rPr>
        <w:t>11</w:t>
      </w:r>
      <w:r>
        <w:rPr>
          <w:rFonts w:ascii="宋体" w:eastAsia="宋体" w:hAnsi="宋体" w:cs="宋体" w:hint="eastAsia"/>
        </w:rPr>
        <w:t>）与《梅州市环境保护“十三五”规划》协调性分析</w:t>
      </w:r>
    </w:p>
    <w:p w:rsidR="005E49F7" w:rsidRDefault="005E49F7" w:rsidP="00D23914">
      <w:pPr>
        <w:pStyle w:val="11"/>
        <w:ind w:firstLine="31680"/>
        <w:rPr>
          <w:rFonts w:ascii="宋体"/>
        </w:rPr>
      </w:pPr>
      <w:r>
        <w:rPr>
          <w:rFonts w:ascii="宋体" w:hAnsi="宋体" w:cs="宋体" w:hint="eastAsia"/>
        </w:rPr>
        <w:t>港口规划实施的污染物排放总量较小，对总量指标压力很小。造成除了在规划阶段与环保规划保持一致外，港口建设的实施过程中也能促进环保规划的实施，如港口建设过程中可以结合绿色通道工程，加强内河沿岸施工和养护，在一定程度上能促进环保规划目标的实现。</w:t>
      </w:r>
    </w:p>
    <w:p w:rsidR="005E49F7" w:rsidRDefault="005E49F7" w:rsidP="00D23914">
      <w:pPr>
        <w:pStyle w:val="11"/>
        <w:ind w:firstLine="31680"/>
        <w:rPr>
          <w:rFonts w:ascii="宋体"/>
        </w:rPr>
      </w:pPr>
      <w:r>
        <w:rPr>
          <w:rFonts w:ascii="宋体" w:hAnsi="宋体" w:cs="宋体" w:hint="eastAsia"/>
        </w:rPr>
        <w:t>（</w:t>
      </w:r>
      <w:r>
        <w:rPr>
          <w:rFonts w:ascii="宋体" w:hAnsi="宋体" w:cs="宋体"/>
        </w:rPr>
        <w:t>12</w:t>
      </w:r>
      <w:r>
        <w:rPr>
          <w:rFonts w:ascii="宋体" w:hAnsi="宋体" w:cs="宋体" w:hint="eastAsia"/>
        </w:rPr>
        <w:t>）与《梅州市环境保护与生态建设“十三五”规划》一致性分析</w:t>
      </w:r>
    </w:p>
    <w:p w:rsidR="005E49F7" w:rsidRDefault="005E49F7" w:rsidP="00D23914">
      <w:pPr>
        <w:pStyle w:val="11"/>
        <w:ind w:firstLine="31680"/>
        <w:rPr>
          <w:rFonts w:ascii="宋体"/>
        </w:rPr>
      </w:pPr>
      <w:r>
        <w:rPr>
          <w:rFonts w:ascii="宋体" w:hAnsi="宋体" w:cs="宋体" w:hint="eastAsia"/>
        </w:rPr>
        <w:t>该规划基本参考《广东省环境保护规划</w:t>
      </w:r>
      <w:r>
        <w:rPr>
          <w:rFonts w:ascii="宋体" w:hAnsi="宋体" w:cs="宋体"/>
        </w:rPr>
        <w:t>2006-2020</w:t>
      </w:r>
      <w:r>
        <w:rPr>
          <w:rFonts w:ascii="宋体" w:hAnsi="宋体" w:cs="宋体" w:hint="eastAsia"/>
        </w:rPr>
        <w:t>》、《梅州市环境保护规划（</w:t>
      </w:r>
      <w:r>
        <w:rPr>
          <w:rFonts w:ascii="宋体" w:hAnsi="宋体" w:cs="宋体"/>
        </w:rPr>
        <w:t>2007-2020</w:t>
      </w:r>
      <w:r>
        <w:rPr>
          <w:rFonts w:ascii="宋体" w:hAnsi="宋体" w:cs="宋体" w:hint="eastAsia"/>
        </w:rPr>
        <w:t>）》、《梅州市城市总体规划（</w:t>
      </w:r>
      <w:r>
        <w:rPr>
          <w:rFonts w:ascii="宋体" w:hAnsi="宋体" w:cs="宋体"/>
        </w:rPr>
        <w:t>2015-2020</w:t>
      </w:r>
      <w:r>
        <w:rPr>
          <w:rFonts w:ascii="宋体" w:hAnsi="宋体" w:cs="宋体" w:hint="eastAsia"/>
        </w:rPr>
        <w:t>）》及各县（市、区）城市总体规划、《梅州市国民经济和社会发展第十二个五年规划纲要》以及各相关规划的衔接，与《梅州市城市总体规划（</w:t>
      </w:r>
      <w:r>
        <w:rPr>
          <w:rFonts w:ascii="宋体" w:hAnsi="宋体" w:cs="宋体"/>
        </w:rPr>
        <w:t>2015-2020</w:t>
      </w:r>
      <w:r>
        <w:rPr>
          <w:rFonts w:ascii="宋体" w:hAnsi="宋体" w:cs="宋体" w:hint="eastAsia"/>
        </w:rPr>
        <w:t>）》基本一致，因此不再重复分析。</w:t>
      </w:r>
    </w:p>
    <w:p w:rsidR="005E49F7" w:rsidRDefault="005E49F7" w:rsidP="00D23914">
      <w:pPr>
        <w:numPr>
          <w:ilvl w:val="0"/>
          <w:numId w:val="8"/>
        </w:numPr>
        <w:spacing w:line="360" w:lineRule="auto"/>
        <w:ind w:firstLineChars="200" w:firstLine="31680"/>
        <w:outlineLvl w:val="0"/>
        <w:rPr>
          <w:rFonts w:ascii="宋体"/>
        </w:rPr>
      </w:pPr>
      <w:bookmarkStart w:id="14" w:name="_Toc11231"/>
      <w:r>
        <w:rPr>
          <w:rFonts w:ascii="宋体" w:hAnsi="宋体" w:cs="宋体" w:hint="eastAsia"/>
        </w:rPr>
        <w:t>规划发展目标与规模的环境合理性分析</w:t>
      </w:r>
      <w:bookmarkEnd w:id="14"/>
    </w:p>
    <w:p w:rsidR="005E49F7" w:rsidRDefault="005E49F7" w:rsidP="00D23914">
      <w:pPr>
        <w:spacing w:line="360" w:lineRule="auto"/>
        <w:ind w:firstLineChars="200" w:firstLine="31680"/>
        <w:outlineLvl w:val="0"/>
        <w:rPr>
          <w:rFonts w:ascii="宋体"/>
        </w:rPr>
      </w:pPr>
      <w:bookmarkStart w:id="15" w:name="_Toc3402"/>
      <w:r>
        <w:rPr>
          <w:rFonts w:ascii="宋体" w:hAnsi="宋体" w:cs="宋体" w:hint="eastAsia"/>
        </w:rPr>
        <w:t>鉴于《广东省内河航运发展规划（</w:t>
      </w:r>
      <w:r>
        <w:rPr>
          <w:rFonts w:ascii="宋体" w:hAnsi="宋体" w:cs="宋体"/>
        </w:rPr>
        <w:t>2010</w:t>
      </w:r>
      <w:r>
        <w:rPr>
          <w:rFonts w:ascii="宋体" w:hAnsi="宋体" w:cs="宋体" w:hint="eastAsia"/>
        </w:rPr>
        <w:t>－</w:t>
      </w:r>
      <w:r>
        <w:rPr>
          <w:rFonts w:ascii="宋体" w:hAnsi="宋体" w:cs="宋体"/>
        </w:rPr>
        <w:t>2020</w:t>
      </w:r>
      <w:r>
        <w:rPr>
          <w:rFonts w:ascii="宋体" w:hAnsi="宋体" w:cs="宋体" w:hint="eastAsia"/>
        </w:rPr>
        <w:t>年）》已通过技术论证并经由广东省发展和改革委员会和广东省交通运输厅于</w:t>
      </w:r>
      <w:r>
        <w:rPr>
          <w:rFonts w:ascii="宋体" w:hAnsi="宋体" w:cs="宋体"/>
        </w:rPr>
        <w:t>2011</w:t>
      </w:r>
      <w:r>
        <w:rPr>
          <w:rFonts w:ascii="宋体" w:hAnsi="宋体" w:cs="宋体" w:hint="eastAsia"/>
        </w:rPr>
        <w:t>年</w:t>
      </w:r>
      <w:r>
        <w:rPr>
          <w:rFonts w:ascii="宋体" w:hAnsi="宋体" w:cs="宋体"/>
        </w:rPr>
        <w:t>2</w:t>
      </w:r>
      <w:r>
        <w:rPr>
          <w:rFonts w:ascii="宋体" w:hAnsi="宋体" w:cs="宋体" w:hint="eastAsia"/>
        </w:rPr>
        <w:t>月联合印发实施，就梅州港航道规划等级而言，《广东省内河航运发展规划》中</w:t>
      </w:r>
      <w:r>
        <w:rPr>
          <w:rFonts w:ascii="宋体" w:hAnsi="宋体" w:cs="宋体" w:hint="eastAsia"/>
          <w:kern w:val="0"/>
        </w:rPr>
        <w:t>规划梅江的梅江桥至三河坝、汀江茶阳至三河坝为五级等级标准，韩江干流三河坝至潮州和韩江三角洲出海航道为五级～四级航道标准不宜调整。</w:t>
      </w:r>
      <w:r>
        <w:rPr>
          <w:rFonts w:ascii="宋体" w:hAnsi="宋体" w:cs="宋体" w:hint="eastAsia"/>
        </w:rPr>
        <w:t>目前梅州港存在航道等级偏低、通行不畅、基础设施落后、服务管理水平较低等诸多问题，未来港区发展发展面临土地岸线资源、水文水质、生态保护和资金配套等多重因素的制约和挑战。建议规划应充分考虑梅州港目前航道等级较低，发展程度落后的现状，结合当前实际客货运吞吐情况，以《广东省内河航运发展规划》为指导，合理安排各港区建设进度，对未来港区建设进一步作出科学安排，防止盲目规划、无序扩大、浅水深用、多占少用等问题的发生</w:t>
      </w:r>
      <w:bookmarkEnd w:id="15"/>
    </w:p>
    <w:p w:rsidR="005E49F7" w:rsidRDefault="005E49F7" w:rsidP="00D23914">
      <w:pPr>
        <w:numPr>
          <w:ilvl w:val="0"/>
          <w:numId w:val="8"/>
        </w:numPr>
        <w:spacing w:line="360" w:lineRule="auto"/>
        <w:ind w:firstLineChars="200" w:firstLine="31680"/>
        <w:outlineLvl w:val="0"/>
        <w:rPr>
          <w:rFonts w:ascii="宋体"/>
        </w:rPr>
      </w:pPr>
      <w:bookmarkStart w:id="16" w:name="_Toc27578"/>
      <w:r>
        <w:rPr>
          <w:rFonts w:ascii="宋体" w:hAnsi="宋体" w:cs="宋体" w:hint="eastAsia"/>
        </w:rPr>
        <w:t>岸线利用规划的环境合理性分析</w:t>
      </w:r>
      <w:bookmarkEnd w:id="16"/>
    </w:p>
    <w:p w:rsidR="005E49F7" w:rsidRDefault="005E49F7" w:rsidP="00D23914">
      <w:pPr>
        <w:numPr>
          <w:ilvl w:val="0"/>
          <w:numId w:val="9"/>
        </w:numPr>
        <w:spacing w:line="360" w:lineRule="auto"/>
        <w:ind w:firstLineChars="200" w:firstLine="31680"/>
        <w:outlineLvl w:val="0"/>
        <w:rPr>
          <w:rFonts w:ascii="宋体"/>
        </w:rPr>
      </w:pPr>
      <w:bookmarkStart w:id="17" w:name="_Toc5508"/>
      <w:r>
        <w:rPr>
          <w:rFonts w:ascii="宋体" w:hAnsi="宋体" w:cs="宋体" w:hint="eastAsia"/>
        </w:rPr>
        <w:t>与地表水环境功能区划的环境合理性分析</w:t>
      </w:r>
      <w:bookmarkEnd w:id="17"/>
    </w:p>
    <w:p w:rsidR="005E49F7" w:rsidRDefault="005E49F7" w:rsidP="00D23914">
      <w:pPr>
        <w:pStyle w:val="11"/>
        <w:ind w:firstLine="31680"/>
        <w:rPr>
          <w:rFonts w:ascii="宋体"/>
        </w:rPr>
      </w:pPr>
      <w:r>
        <w:rPr>
          <w:rFonts w:ascii="宋体" w:hAnsi="宋体" w:cs="宋体" w:hint="eastAsia"/>
        </w:rPr>
        <w:t>根据《广东省水污染物排放限值》（</w:t>
      </w:r>
      <w:r>
        <w:rPr>
          <w:rFonts w:ascii="宋体" w:hAnsi="宋体" w:cs="宋体"/>
        </w:rPr>
        <w:t>DB44/26-2001</w:t>
      </w:r>
      <w:r>
        <w:rPr>
          <w:rFonts w:ascii="宋体" w:hAnsi="宋体" w:cs="宋体" w:hint="eastAsia"/>
        </w:rPr>
        <w:t>），地表水Ⅱ类功能区属于特殊控制区，在特殊控制区内禁止新建排污口，因此梅州港岸线作业区和码头在规划和建设时必须配套相应的市政污水处理设施，在建设和运营期间产生的污水纳入市政污水处理管网，由市政污水处理厂处理达标后集中排放，禁止将作业场地和码头、船舶产生的生活污水、船舶清洗废水、机舱废水等未经处理直接排至韩江干流或水库。舶舱底油污水应申请港务部门船舶接收。只要岸线和码头管理科学有效、防治措施得当，与附近的水体功能矛盾可充分化解。</w:t>
      </w:r>
    </w:p>
    <w:p w:rsidR="005E49F7" w:rsidRDefault="005E49F7" w:rsidP="00D23914">
      <w:pPr>
        <w:pStyle w:val="11"/>
        <w:ind w:firstLine="31680"/>
        <w:rPr>
          <w:rFonts w:ascii="宋体"/>
        </w:rPr>
      </w:pPr>
      <w:r>
        <w:rPr>
          <w:rFonts w:ascii="宋体" w:hAnsi="宋体" w:cs="宋体"/>
        </w:rPr>
        <w:t>b</w:t>
      </w:r>
      <w:r>
        <w:rPr>
          <w:rFonts w:ascii="宋体" w:hAnsi="宋体" w:cs="宋体" w:hint="eastAsia"/>
        </w:rPr>
        <w:t>、与饮用水源保护区的环境合理性分析</w:t>
      </w:r>
    </w:p>
    <w:p w:rsidR="005E49F7" w:rsidRDefault="005E49F7" w:rsidP="00D23914">
      <w:pPr>
        <w:pStyle w:val="11"/>
        <w:ind w:firstLine="31680"/>
        <w:rPr>
          <w:rFonts w:ascii="宋体"/>
        </w:rPr>
      </w:pPr>
      <w:r>
        <w:rPr>
          <w:rFonts w:ascii="宋体" w:hAnsi="宋体" w:cs="宋体" w:hint="eastAsia"/>
        </w:rPr>
        <w:t>梅州港总体规划与现有饮用水源保护区、取水口无冲突，不涉及梅州市生活饮用水地表水源保护区。对位于未来新划定饮用水源保护区范围的规划岸线和码头要进一步做好选址论证，严格避让饮用水源保护区等环境敏感区，切实保障饮用水源安全，实现航运与环境保护的协调发展。</w:t>
      </w:r>
    </w:p>
    <w:p w:rsidR="005E49F7" w:rsidRDefault="005E49F7" w:rsidP="00D23914">
      <w:pPr>
        <w:pStyle w:val="11"/>
        <w:ind w:firstLine="31680"/>
        <w:rPr>
          <w:rFonts w:ascii="宋体"/>
        </w:rPr>
      </w:pPr>
      <w:r>
        <w:rPr>
          <w:rFonts w:ascii="宋体" w:hAnsi="宋体" w:cs="宋体"/>
        </w:rPr>
        <w:t>c</w:t>
      </w:r>
      <w:r>
        <w:rPr>
          <w:rFonts w:ascii="宋体" w:hAnsi="宋体" w:cs="宋体" w:hint="eastAsia"/>
        </w:rPr>
        <w:t>、</w:t>
      </w:r>
      <w:r>
        <w:rPr>
          <w:rFonts w:ascii="宋体" w:hAnsi="宋体" w:cs="宋体"/>
        </w:rPr>
        <w:t xml:space="preserve"> </w:t>
      </w:r>
      <w:r>
        <w:rPr>
          <w:rFonts w:ascii="宋体" w:hAnsi="宋体" w:cs="宋体" w:hint="eastAsia"/>
        </w:rPr>
        <w:t>与大气功能区的环境合理性分析</w:t>
      </w:r>
    </w:p>
    <w:p w:rsidR="005E49F7" w:rsidRDefault="005E49F7" w:rsidP="00D23914">
      <w:pPr>
        <w:pStyle w:val="11"/>
        <w:ind w:firstLine="31680"/>
        <w:rPr>
          <w:rFonts w:ascii="宋体"/>
        </w:rPr>
      </w:pPr>
      <w:r>
        <w:rPr>
          <w:rFonts w:ascii="宋体" w:hAnsi="宋体" w:cs="宋体" w:hint="eastAsia"/>
        </w:rPr>
        <w:t>梅州港总体规划范围不涉及大气环境功能一类区外，港区均处于大气环境功能二类区。因此，项目符合《广东省大气污染物排放限值》（</w:t>
      </w:r>
      <w:r>
        <w:rPr>
          <w:rFonts w:ascii="宋体" w:hAnsi="宋体" w:cs="宋体"/>
        </w:rPr>
        <w:t>DB44/27-2001</w:t>
      </w:r>
      <w:r>
        <w:rPr>
          <w:rFonts w:ascii="宋体" w:hAnsi="宋体" w:cs="宋体" w:hint="eastAsia"/>
        </w:rPr>
        <w:t>），中在大气功能一类区内禁止新、扩建污染源的要求，项目对大气环境影响不大。</w:t>
      </w:r>
    </w:p>
    <w:p w:rsidR="005E49F7" w:rsidRDefault="005E49F7" w:rsidP="00D23914">
      <w:pPr>
        <w:pStyle w:val="11"/>
        <w:ind w:firstLine="31680"/>
        <w:rPr>
          <w:rFonts w:ascii="宋体"/>
        </w:rPr>
      </w:pPr>
      <w:r>
        <w:rPr>
          <w:rFonts w:ascii="宋体" w:hAnsi="宋体" w:cs="宋体"/>
        </w:rPr>
        <w:t>d</w:t>
      </w:r>
      <w:r>
        <w:rPr>
          <w:rFonts w:ascii="宋体" w:hAnsi="宋体" w:cs="宋体" w:hint="eastAsia"/>
        </w:rPr>
        <w:t>、与市域噪声功能区的环境合理性分析</w:t>
      </w:r>
    </w:p>
    <w:p w:rsidR="005E49F7" w:rsidRDefault="005E49F7" w:rsidP="00D23914">
      <w:pPr>
        <w:pStyle w:val="11"/>
        <w:ind w:firstLine="31680"/>
        <w:rPr>
          <w:rFonts w:ascii="宋体"/>
        </w:rPr>
      </w:pPr>
      <w:r>
        <w:rPr>
          <w:rFonts w:ascii="宋体" w:hAnsi="宋体" w:cs="宋体" w:hint="eastAsia"/>
        </w:rPr>
        <w:t>梅州港市区交通旅游码头规划与噪声环境功能区划要求基本无冲突。但规划码头在施工和运营期间，尤其要注意施工船舶、机械的工作噪声以及过往客流产生的社会噪声对周围声环境产生的影响。施工船港区规划时将声源与居民保持一定的距离，并设置绿化隔离带。规划实施后注意对声环境敏感点的影响，特别是处于城市一类区域的港区和作业区，确保本规划实施后不降低现有环境噪声功能区的环境质量。</w:t>
      </w:r>
    </w:p>
    <w:p w:rsidR="005E49F7" w:rsidRDefault="005E49F7" w:rsidP="00D23914">
      <w:pPr>
        <w:pStyle w:val="11"/>
        <w:ind w:firstLine="31680"/>
        <w:rPr>
          <w:rFonts w:ascii="宋体"/>
        </w:rPr>
      </w:pPr>
      <w:r>
        <w:rPr>
          <w:rFonts w:ascii="宋体" w:hAnsi="宋体" w:cs="宋体"/>
        </w:rPr>
        <w:t>e</w:t>
      </w:r>
      <w:r>
        <w:rPr>
          <w:rFonts w:ascii="宋体" w:hAnsi="宋体" w:cs="宋体" w:hint="eastAsia"/>
        </w:rPr>
        <w:t>、与自然保护区环境合理性分析</w:t>
      </w:r>
    </w:p>
    <w:p w:rsidR="005E49F7" w:rsidRDefault="005E49F7" w:rsidP="00D23914">
      <w:pPr>
        <w:pStyle w:val="11"/>
        <w:ind w:firstLine="31680"/>
        <w:rPr>
          <w:rFonts w:ascii="宋体"/>
        </w:rPr>
      </w:pPr>
      <w:r>
        <w:rPr>
          <w:rFonts w:ascii="宋体" w:hAnsi="宋体" w:cs="宋体" w:hint="eastAsia"/>
        </w:rPr>
        <w:t>根据</w:t>
      </w:r>
      <w:r>
        <w:rPr>
          <w:rFonts w:ascii="宋体" w:hAnsi="宋体" w:cs="宋体"/>
        </w:rPr>
        <w:t>2009</w:t>
      </w:r>
      <w:r>
        <w:rPr>
          <w:rFonts w:ascii="宋体" w:hAnsi="宋体" w:cs="宋体" w:hint="eastAsia"/>
        </w:rPr>
        <w:t>年广东省自然保护区名录，梅州市自然保护区主要为陆域和水域类型，主管部门涉及林业、农业、国土等部门，有</w:t>
      </w:r>
      <w:r>
        <w:rPr>
          <w:rFonts w:ascii="宋体" w:hAnsi="宋体" w:cs="宋体"/>
        </w:rPr>
        <w:t>124</w:t>
      </w:r>
      <w:r>
        <w:rPr>
          <w:rFonts w:ascii="宋体" w:hAnsi="宋体" w:cs="宋体" w:hint="eastAsia"/>
        </w:rPr>
        <w:t>个禁止开发区域，含国家级森林公园</w:t>
      </w:r>
      <w:r>
        <w:rPr>
          <w:rFonts w:ascii="宋体" w:hAnsi="宋体" w:cs="宋体"/>
        </w:rPr>
        <w:t>4</w:t>
      </w:r>
      <w:r>
        <w:rPr>
          <w:rFonts w:ascii="宋体" w:hAnsi="宋体" w:cs="宋体" w:hint="eastAsia"/>
        </w:rPr>
        <w:t>个，省级自然保护区</w:t>
      </w:r>
      <w:r>
        <w:rPr>
          <w:rFonts w:ascii="宋体" w:hAnsi="宋体" w:cs="宋体"/>
        </w:rPr>
        <w:t>6</w:t>
      </w:r>
      <w:r>
        <w:rPr>
          <w:rFonts w:ascii="宋体" w:hAnsi="宋体" w:cs="宋体" w:hint="eastAsia"/>
        </w:rPr>
        <w:t>个，省级森林公园</w:t>
      </w:r>
      <w:r>
        <w:rPr>
          <w:rFonts w:ascii="宋体" w:hAnsi="宋体" w:cs="宋体"/>
        </w:rPr>
        <w:t>8</w:t>
      </w:r>
      <w:r>
        <w:rPr>
          <w:rFonts w:ascii="宋体" w:hAnsi="宋体" w:cs="宋体" w:hint="eastAsia"/>
        </w:rPr>
        <w:t>个，市县级自然保护区</w:t>
      </w:r>
      <w:r>
        <w:rPr>
          <w:rFonts w:ascii="宋体" w:hAnsi="宋体" w:cs="宋体"/>
        </w:rPr>
        <w:t>47</w:t>
      </w:r>
      <w:r>
        <w:rPr>
          <w:rFonts w:ascii="宋体" w:hAnsi="宋体" w:cs="宋体" w:hint="eastAsia"/>
        </w:rPr>
        <w:t>个，县级森林公园</w:t>
      </w:r>
      <w:r>
        <w:rPr>
          <w:rFonts w:ascii="宋体" w:hAnsi="宋体" w:cs="宋体"/>
        </w:rPr>
        <w:t>59</w:t>
      </w:r>
      <w:r>
        <w:rPr>
          <w:rFonts w:ascii="宋体" w:hAnsi="宋体" w:cs="宋体" w:hint="eastAsia"/>
        </w:rPr>
        <w:t>个。由分析可知，本规划不涉及自然保护区，本规划</w:t>
      </w:r>
      <w:r>
        <w:rPr>
          <w:rFonts w:ascii="宋体" w:hAnsi="宋体" w:cs="宋体"/>
        </w:rPr>
        <w:t>1km</w:t>
      </w:r>
      <w:r>
        <w:rPr>
          <w:rFonts w:ascii="宋体" w:hAnsi="宋体" w:cs="宋体" w:hint="eastAsia"/>
        </w:rPr>
        <w:t>范围内可能涉及梅县元魁塔森林公园（县级），在施工期和运营期产生的废水、废气以及固体废弃物可能会对其造成一定影响，因此，应当严格落实污染物防治措施，降低对下游的影响。</w:t>
      </w:r>
    </w:p>
    <w:p w:rsidR="005E49F7" w:rsidRDefault="005E49F7" w:rsidP="00D23914">
      <w:pPr>
        <w:pStyle w:val="11"/>
        <w:ind w:firstLine="31680"/>
        <w:rPr>
          <w:rFonts w:ascii="宋体"/>
        </w:rPr>
      </w:pPr>
      <w:r>
        <w:rPr>
          <w:rFonts w:ascii="宋体" w:hAnsi="宋体" w:cs="宋体"/>
        </w:rPr>
        <w:t>F</w:t>
      </w:r>
      <w:r>
        <w:rPr>
          <w:rFonts w:ascii="宋体" w:hAnsi="宋体" w:cs="宋体" w:hint="eastAsia"/>
        </w:rPr>
        <w:t>、与其他环境敏感区的合理性分析</w:t>
      </w:r>
    </w:p>
    <w:p w:rsidR="005E49F7" w:rsidRDefault="005E49F7" w:rsidP="00D23914">
      <w:pPr>
        <w:pStyle w:val="11"/>
        <w:ind w:firstLine="31680"/>
        <w:rPr>
          <w:rFonts w:ascii="宋体"/>
        </w:rPr>
      </w:pPr>
      <w:r>
        <w:rPr>
          <w:rFonts w:ascii="宋体" w:hAnsi="宋体" w:cs="宋体" w:hint="eastAsia"/>
          <w:spacing w:val="7"/>
        </w:rPr>
        <w:t>梅州港总体规划未在上述风景区附近进行码头或岸线利用规划。</w:t>
      </w:r>
      <w:r>
        <w:rPr>
          <w:rFonts w:ascii="宋体" w:hAnsi="宋体" w:cs="宋体" w:hint="eastAsia"/>
        </w:rPr>
        <w:t>梅州港总体规划范围与梅州市历史文化、文物保护区无冲突。</w:t>
      </w:r>
    </w:p>
    <w:p w:rsidR="005E49F7" w:rsidRDefault="005E49F7" w:rsidP="00D23914">
      <w:pPr>
        <w:pStyle w:val="11"/>
        <w:ind w:firstLine="31680"/>
        <w:rPr>
          <w:rFonts w:ascii="宋体"/>
        </w:rPr>
      </w:pPr>
      <w:r>
        <w:rPr>
          <w:rFonts w:ascii="宋体" w:hAnsi="宋体" w:cs="宋体" w:hint="eastAsia"/>
          <w:spacing w:val="7"/>
        </w:rPr>
        <w:t>《梅州港总体规划》</w:t>
      </w:r>
      <w:r>
        <w:rPr>
          <w:rFonts w:ascii="宋体" w:hAnsi="宋体" w:cs="宋体" w:hint="eastAsia"/>
          <w:kern w:val="0"/>
        </w:rPr>
        <w:t>功能规划为以旅游为主，本规划不涉及</w:t>
      </w:r>
      <w:r>
        <w:rPr>
          <w:rFonts w:ascii="宋体" w:hAnsi="宋体" w:cs="宋体" w:hint="eastAsia"/>
        </w:rPr>
        <w:t>饮用水源保护区、自然保护区等诸多生态敏感区。本规划选址合理。</w:t>
      </w:r>
    </w:p>
    <w:p w:rsidR="005E49F7" w:rsidRDefault="005E49F7" w:rsidP="00D23914">
      <w:pPr>
        <w:pStyle w:val="11"/>
        <w:numPr>
          <w:ilvl w:val="0"/>
          <w:numId w:val="10"/>
        </w:numPr>
        <w:ind w:firstLine="31680"/>
        <w:rPr>
          <w:rFonts w:ascii="宋体"/>
        </w:rPr>
      </w:pPr>
      <w:r>
        <w:rPr>
          <w:rFonts w:ascii="宋体" w:hAnsi="宋体" w:cs="宋体" w:hint="eastAsia"/>
        </w:rPr>
        <w:t>配套设施规划的环境合理性分析</w:t>
      </w:r>
    </w:p>
    <w:p w:rsidR="005E49F7" w:rsidRDefault="005E49F7" w:rsidP="00D23914">
      <w:pPr>
        <w:pStyle w:val="11"/>
        <w:ind w:firstLine="31680"/>
        <w:rPr>
          <w:rFonts w:hAnsi="宋体"/>
        </w:rPr>
      </w:pPr>
      <w:r>
        <w:rPr>
          <w:rFonts w:ascii="宋体" w:hAnsi="宋体" w:cs="宋体" w:hint="eastAsia"/>
        </w:rPr>
        <w:t>规划配套设施供电、给排水等方面均具备相应处理能力，规划的具体实施单位在未来的建设过程中应重视与市政、水务等有关部门的协调，防止港区建设与配套市政污水设施建设脱节，确保港区划入当地市政污水处理厂的纳污范围。</w:t>
      </w:r>
    </w:p>
    <w:p w:rsidR="005E49F7" w:rsidRDefault="005E49F7">
      <w:pPr>
        <w:spacing w:line="360" w:lineRule="auto"/>
        <w:jc w:val="left"/>
        <w:outlineLvl w:val="0"/>
        <w:rPr>
          <w:rFonts w:ascii="宋体"/>
          <w:b/>
          <w:bCs/>
          <w:sz w:val="28"/>
          <w:szCs w:val="28"/>
        </w:rPr>
      </w:pPr>
      <w:bookmarkStart w:id="18" w:name="_Toc8516"/>
      <w:r>
        <w:rPr>
          <w:rFonts w:ascii="宋体" w:hAnsi="宋体" w:cs="宋体"/>
          <w:b/>
          <w:bCs/>
          <w:sz w:val="28"/>
          <w:szCs w:val="28"/>
        </w:rPr>
        <w:t>2</w:t>
      </w:r>
      <w:r>
        <w:rPr>
          <w:rFonts w:ascii="宋体" w:hAnsi="宋体" w:cs="宋体" w:hint="eastAsia"/>
          <w:b/>
          <w:bCs/>
          <w:sz w:val="28"/>
          <w:szCs w:val="28"/>
        </w:rPr>
        <w:t>建设项目周围环境现状</w:t>
      </w:r>
      <w:bookmarkEnd w:id="18"/>
    </w:p>
    <w:p w:rsidR="005E49F7" w:rsidRDefault="005E49F7">
      <w:pPr>
        <w:spacing w:line="360" w:lineRule="auto"/>
        <w:jc w:val="left"/>
        <w:outlineLvl w:val="1"/>
        <w:rPr>
          <w:rFonts w:ascii="宋体"/>
          <w:b/>
          <w:bCs/>
          <w:sz w:val="28"/>
          <w:szCs w:val="28"/>
        </w:rPr>
      </w:pPr>
      <w:bookmarkStart w:id="19" w:name="_Toc6490"/>
      <w:r>
        <w:rPr>
          <w:rFonts w:ascii="宋体" w:hAnsi="宋体" w:cs="宋体"/>
          <w:b/>
          <w:bCs/>
          <w:sz w:val="28"/>
          <w:szCs w:val="28"/>
        </w:rPr>
        <w:t>2.1</w:t>
      </w:r>
      <w:r>
        <w:rPr>
          <w:rFonts w:ascii="宋体" w:hAnsi="宋体" w:cs="宋体" w:hint="eastAsia"/>
          <w:b/>
          <w:bCs/>
          <w:sz w:val="28"/>
          <w:szCs w:val="28"/>
        </w:rPr>
        <w:t>建设项目所在地环境质量现状</w:t>
      </w:r>
      <w:bookmarkEnd w:id="19"/>
    </w:p>
    <w:p w:rsidR="005E49F7" w:rsidRDefault="005E49F7" w:rsidP="00D23914">
      <w:pPr>
        <w:numPr>
          <w:ilvl w:val="0"/>
          <w:numId w:val="11"/>
        </w:numPr>
        <w:spacing w:line="360" w:lineRule="auto"/>
        <w:ind w:firstLineChars="200" w:firstLine="31680"/>
        <w:jc w:val="left"/>
        <w:outlineLvl w:val="0"/>
        <w:rPr>
          <w:rFonts w:ascii="宋体"/>
        </w:rPr>
      </w:pPr>
      <w:bookmarkStart w:id="20" w:name="_Toc31493"/>
      <w:r>
        <w:rPr>
          <w:rFonts w:ascii="宋体" w:hAnsi="宋体" w:cs="宋体" w:hint="eastAsia"/>
        </w:rPr>
        <w:t>大气环境质量现状</w:t>
      </w:r>
      <w:bookmarkEnd w:id="20"/>
    </w:p>
    <w:p w:rsidR="005E49F7" w:rsidRDefault="005E49F7" w:rsidP="00D23914">
      <w:pPr>
        <w:spacing w:line="360" w:lineRule="auto"/>
        <w:ind w:leftChars="200" w:left="31680"/>
        <w:jc w:val="left"/>
        <w:outlineLvl w:val="0"/>
        <w:rPr>
          <w:rFonts w:ascii="宋体"/>
        </w:rPr>
      </w:pPr>
      <w:bookmarkStart w:id="21" w:name="_Toc25709"/>
      <w:r>
        <w:rPr>
          <w:rFonts w:ascii="宋体" w:hAnsi="宋体" w:cs="宋体"/>
        </w:rPr>
        <w:t>2013-2015</w:t>
      </w:r>
      <w:r>
        <w:rPr>
          <w:rFonts w:ascii="宋体" w:hAnsi="宋体" w:cs="宋体" w:hint="eastAsia"/>
        </w:rPr>
        <w:t>年期间，梅州市城区环境空气质量各项监测指标年均值均达到国家《环境空气质量标准》（</w:t>
      </w:r>
      <w:r>
        <w:rPr>
          <w:rFonts w:ascii="宋体" w:hAnsi="宋体" w:cs="宋体"/>
        </w:rPr>
        <w:t>GB 3095-2012</w:t>
      </w:r>
      <w:r>
        <w:rPr>
          <w:rFonts w:ascii="宋体" w:hAnsi="宋体" w:cs="宋体" w:hint="eastAsia"/>
        </w:rPr>
        <w:t>）二级标准，降尘、硫酸盐化速率也低于省推荐标准，环境空气质量保持优良。</w:t>
      </w:r>
      <w:r>
        <w:rPr>
          <w:rFonts w:ascii="宋体" w:hAnsi="宋体" w:cs="宋体"/>
        </w:rPr>
        <w:t>2013-2015</w:t>
      </w:r>
      <w:r>
        <w:rPr>
          <w:rFonts w:ascii="宋体" w:hAnsi="宋体" w:cs="宋体" w:hint="eastAsia"/>
        </w:rPr>
        <w:t>年城市降水</w:t>
      </w:r>
      <w:r>
        <w:rPr>
          <w:rFonts w:ascii="宋体" w:hAnsi="宋体" w:cs="宋体"/>
        </w:rPr>
        <w:t>pH</w:t>
      </w:r>
      <w:r>
        <w:rPr>
          <w:rFonts w:ascii="宋体" w:hAnsi="宋体" w:cs="宋体" w:hint="eastAsia"/>
        </w:rPr>
        <w:t>值基本稳定，酸雨出现频率逐年下降，全市环境空气质量保持在优良水平。</w:t>
      </w:r>
      <w:bookmarkEnd w:id="21"/>
    </w:p>
    <w:p w:rsidR="005E49F7" w:rsidRDefault="005E49F7" w:rsidP="00D23914">
      <w:pPr>
        <w:numPr>
          <w:ilvl w:val="0"/>
          <w:numId w:val="11"/>
        </w:numPr>
        <w:spacing w:line="360" w:lineRule="auto"/>
        <w:ind w:firstLineChars="200" w:firstLine="31680"/>
        <w:jc w:val="left"/>
        <w:outlineLvl w:val="0"/>
        <w:rPr>
          <w:rFonts w:ascii="宋体"/>
        </w:rPr>
      </w:pPr>
      <w:bookmarkStart w:id="22" w:name="_Toc30830"/>
      <w:r>
        <w:rPr>
          <w:rFonts w:ascii="宋体" w:hAnsi="宋体" w:cs="宋体" w:hint="eastAsia"/>
        </w:rPr>
        <w:t>水环境质量现状</w:t>
      </w:r>
      <w:bookmarkEnd w:id="22"/>
    </w:p>
    <w:p w:rsidR="005E49F7" w:rsidRDefault="005E49F7" w:rsidP="00D23914">
      <w:pPr>
        <w:spacing w:line="360" w:lineRule="auto"/>
        <w:ind w:firstLineChars="200" w:firstLine="31680"/>
        <w:rPr>
          <w:rFonts w:ascii="宋体"/>
        </w:rPr>
      </w:pPr>
      <w:r>
        <w:rPr>
          <w:rFonts w:ascii="宋体" w:hAnsi="宋体" w:cs="宋体"/>
        </w:rPr>
        <w:t>——</w:t>
      </w:r>
      <w:r>
        <w:rPr>
          <w:rFonts w:ascii="宋体" w:hAnsi="宋体" w:cs="宋体" w:hint="eastAsia"/>
        </w:rPr>
        <w:t>饮用水源地水质状况</w:t>
      </w:r>
    </w:p>
    <w:p w:rsidR="005E49F7" w:rsidRDefault="005E49F7" w:rsidP="00D23914">
      <w:pPr>
        <w:spacing w:line="360" w:lineRule="auto"/>
        <w:ind w:firstLineChars="200" w:firstLine="31680"/>
        <w:rPr>
          <w:rFonts w:ascii="宋体"/>
        </w:rPr>
      </w:pPr>
      <w:r>
        <w:rPr>
          <w:rFonts w:ascii="宋体" w:hAnsi="宋体" w:cs="宋体"/>
        </w:rPr>
        <w:t>2015</w:t>
      </w:r>
      <w:r>
        <w:rPr>
          <w:rFonts w:ascii="宋体" w:hAnsi="宋体" w:cs="宋体" w:hint="eastAsia"/>
        </w:rPr>
        <w:t>年梅州市区清凉山水库饮用水源水质达标率为</w:t>
      </w:r>
      <w:r>
        <w:rPr>
          <w:rFonts w:ascii="宋体" w:hAnsi="宋体" w:cs="宋体"/>
        </w:rPr>
        <w:t>100%</w:t>
      </w:r>
      <w:r>
        <w:rPr>
          <w:rFonts w:ascii="宋体" w:hAnsi="宋体" w:cs="宋体" w:hint="eastAsia"/>
        </w:rPr>
        <w:t>，梅江饮用水备用水源地水质存在超标现象。</w:t>
      </w:r>
      <w:r>
        <w:rPr>
          <w:rFonts w:ascii="宋体" w:hAnsi="宋体" w:cs="宋体"/>
        </w:rPr>
        <w:t>8</w:t>
      </w:r>
      <w:r>
        <w:rPr>
          <w:rFonts w:ascii="宋体" w:hAnsi="宋体" w:cs="宋体" w:hint="eastAsia"/>
        </w:rPr>
        <w:t>个县级以上集中式饮用水源中，兴宁市合水水库、福岭水库，平远县黄田水库，蕉岭县龙潭水库、黄竹坪水库，大埔县三河坝水库饮用水源水质均达标，平远县富石水库、横田水库，蕉岭县长潭水库、多宝水库，丰顺县虎局水库水质较差，介于Ⅳ类和劣Ⅴ类之间。</w:t>
      </w:r>
    </w:p>
    <w:p w:rsidR="005E49F7" w:rsidRDefault="005E49F7" w:rsidP="00D23914">
      <w:pPr>
        <w:spacing w:line="360" w:lineRule="auto"/>
        <w:ind w:firstLineChars="200" w:firstLine="31680"/>
        <w:rPr>
          <w:rFonts w:ascii="宋体"/>
        </w:rPr>
      </w:pPr>
      <w:r>
        <w:rPr>
          <w:rFonts w:ascii="宋体" w:hAnsi="宋体" w:cs="宋体"/>
        </w:rPr>
        <w:t>——</w:t>
      </w:r>
      <w:r>
        <w:rPr>
          <w:rFonts w:ascii="宋体" w:hAnsi="宋体" w:cs="宋体" w:hint="eastAsia"/>
        </w:rPr>
        <w:t>国控、省控和市控江河水质状况</w:t>
      </w:r>
    </w:p>
    <w:p w:rsidR="005E49F7" w:rsidRDefault="005E49F7" w:rsidP="00D23914">
      <w:pPr>
        <w:pStyle w:val="ad"/>
        <w:spacing w:beforeLines="0" w:afterLines="0"/>
        <w:ind w:firstLine="31680"/>
        <w:outlineLvl w:val="9"/>
        <w:rPr>
          <w:rFonts w:ascii="宋体" w:eastAsia="宋体" w:hAnsi="宋体"/>
        </w:rPr>
      </w:pPr>
      <w:r>
        <w:rPr>
          <w:rFonts w:ascii="宋体" w:eastAsia="宋体" w:hAnsi="宋体" w:cs="宋体" w:hint="eastAsia"/>
          <w:kern w:val="0"/>
        </w:rPr>
        <w:t>梅州市共有国控监测断面</w:t>
      </w:r>
      <w:r>
        <w:rPr>
          <w:rFonts w:ascii="宋体" w:eastAsia="宋体" w:hAnsi="宋体" w:cs="宋体"/>
          <w:kern w:val="0"/>
        </w:rPr>
        <w:t>1</w:t>
      </w:r>
      <w:r>
        <w:rPr>
          <w:rFonts w:ascii="宋体" w:eastAsia="宋体" w:hAnsi="宋体" w:cs="宋体" w:hint="eastAsia"/>
          <w:kern w:val="0"/>
        </w:rPr>
        <w:t>个、省控监测断面</w:t>
      </w:r>
      <w:r>
        <w:rPr>
          <w:rFonts w:ascii="宋体" w:eastAsia="宋体" w:hAnsi="宋体" w:cs="宋体"/>
          <w:kern w:val="0"/>
        </w:rPr>
        <w:t>5</w:t>
      </w:r>
      <w:r>
        <w:rPr>
          <w:rFonts w:ascii="宋体" w:eastAsia="宋体" w:hAnsi="宋体" w:cs="宋体" w:hint="eastAsia"/>
          <w:kern w:val="0"/>
        </w:rPr>
        <w:t>个及市控监测断面</w:t>
      </w:r>
      <w:r>
        <w:rPr>
          <w:rFonts w:ascii="宋体" w:eastAsia="宋体" w:hAnsi="宋体" w:cs="宋体"/>
          <w:kern w:val="0"/>
        </w:rPr>
        <w:t>2</w:t>
      </w:r>
      <w:r>
        <w:rPr>
          <w:rFonts w:ascii="宋体" w:eastAsia="宋体" w:hAnsi="宋体" w:cs="宋体" w:hint="eastAsia"/>
          <w:kern w:val="0"/>
        </w:rPr>
        <w:t>个。</w:t>
      </w:r>
      <w:r>
        <w:rPr>
          <w:rFonts w:ascii="宋体" w:eastAsia="宋体" w:hAnsi="宋体" w:cs="宋体"/>
          <w:kern w:val="0"/>
        </w:rPr>
        <w:t>2015</w:t>
      </w:r>
      <w:r>
        <w:rPr>
          <w:rFonts w:ascii="宋体" w:eastAsia="宋体" w:hAnsi="宋体" w:cs="宋体" w:hint="eastAsia"/>
          <w:kern w:val="0"/>
        </w:rPr>
        <w:t>年</w:t>
      </w:r>
      <w:r>
        <w:rPr>
          <w:rFonts w:ascii="宋体" w:eastAsia="宋体" w:hAnsi="宋体" w:cs="宋体"/>
          <w:kern w:val="0"/>
        </w:rPr>
        <w:t>5</w:t>
      </w:r>
      <w:r>
        <w:rPr>
          <w:rFonts w:ascii="宋体" w:eastAsia="宋体" w:hAnsi="宋体" w:cs="宋体" w:hint="eastAsia"/>
          <w:kern w:val="0"/>
        </w:rPr>
        <w:t>月份监测结果显示，国控汀江青溪断面水质溶解氧均超过Ⅱ类标准，水质为Ⅲ类；市控长沙断面水质溶解氧、高锰酸盐、氨氮均超过Ⅱ类标准，水质为Ⅲ类；其它断面水质达标。</w:t>
      </w:r>
      <w:r>
        <w:rPr>
          <w:rFonts w:ascii="宋体" w:eastAsia="宋体" w:hAnsi="宋体" w:cs="宋体"/>
          <w:kern w:val="0"/>
        </w:rPr>
        <w:t>9</w:t>
      </w:r>
      <w:r>
        <w:rPr>
          <w:rFonts w:ascii="宋体" w:eastAsia="宋体" w:hAnsi="宋体" w:cs="宋体" w:hint="eastAsia"/>
          <w:kern w:val="0"/>
        </w:rPr>
        <w:t>个县级交接断面均出现有不同程度的超标现象，主要超标项目有氨氮、总磷、溶解氧、化学需氧量等，水质均不能满足相应功能区类别要求。与潮州交接赤凤断面水质达标。</w:t>
      </w:r>
    </w:p>
    <w:p w:rsidR="005E49F7" w:rsidRDefault="005E49F7" w:rsidP="00D23914">
      <w:pPr>
        <w:numPr>
          <w:ilvl w:val="0"/>
          <w:numId w:val="11"/>
        </w:numPr>
        <w:spacing w:line="360" w:lineRule="auto"/>
        <w:ind w:firstLineChars="200" w:firstLine="31680"/>
        <w:jc w:val="left"/>
        <w:outlineLvl w:val="0"/>
        <w:rPr>
          <w:rFonts w:ascii="宋体"/>
        </w:rPr>
      </w:pPr>
      <w:bookmarkStart w:id="23" w:name="_Toc6515"/>
      <w:r>
        <w:rPr>
          <w:rFonts w:ascii="宋体" w:hAnsi="宋体" w:cs="宋体" w:hint="eastAsia"/>
        </w:rPr>
        <w:t>声环境质量现状</w:t>
      </w:r>
      <w:bookmarkEnd w:id="23"/>
    </w:p>
    <w:p w:rsidR="005E49F7" w:rsidRDefault="005E49F7" w:rsidP="00D23914">
      <w:pPr>
        <w:pStyle w:val="11"/>
        <w:ind w:firstLine="31680"/>
      </w:pPr>
      <w:r>
        <w:rPr>
          <w:rFonts w:cs="宋体" w:hint="eastAsia"/>
        </w:rPr>
        <w:t>根据梅州市</w:t>
      </w:r>
      <w:r>
        <w:t>2013-2015</w:t>
      </w:r>
      <w:r>
        <w:rPr>
          <w:rFonts w:cs="宋体" w:hint="eastAsia"/>
        </w:rPr>
        <w:t>年对区域环境噪声的监测结果，区域环境噪声平均值均达到国家《声环境质量标准》（</w:t>
      </w:r>
      <w:r>
        <w:t>GB3096-2008</w:t>
      </w:r>
      <w:r>
        <w:rPr>
          <w:rFonts w:cs="宋体" w:hint="eastAsia"/>
        </w:rPr>
        <w:t>）</w:t>
      </w:r>
      <w:r>
        <w:t>2</w:t>
      </w:r>
      <w:r>
        <w:rPr>
          <w:rFonts w:cs="宋体" w:hint="eastAsia"/>
        </w:rPr>
        <w:t>类标准，声环境保持良好，这与梅州市政府加强环保工作积极创建城市噪声达标区，大力改善城市环境有直接的关系。</w:t>
      </w:r>
    </w:p>
    <w:p w:rsidR="005E49F7" w:rsidRDefault="005E49F7">
      <w:pPr>
        <w:spacing w:line="360" w:lineRule="auto"/>
        <w:jc w:val="left"/>
        <w:outlineLvl w:val="1"/>
        <w:rPr>
          <w:rFonts w:ascii="宋体"/>
          <w:b/>
          <w:bCs/>
          <w:sz w:val="28"/>
          <w:szCs w:val="28"/>
        </w:rPr>
      </w:pPr>
      <w:bookmarkStart w:id="24" w:name="_Toc30265"/>
      <w:r>
        <w:rPr>
          <w:rFonts w:ascii="宋体" w:hAnsi="宋体" w:cs="宋体"/>
          <w:b/>
          <w:bCs/>
          <w:sz w:val="28"/>
          <w:szCs w:val="28"/>
        </w:rPr>
        <w:t>2.2</w:t>
      </w:r>
      <w:r>
        <w:rPr>
          <w:rFonts w:ascii="宋体" w:hAnsi="宋体" w:cs="宋体" w:hint="eastAsia"/>
          <w:b/>
          <w:bCs/>
          <w:sz w:val="28"/>
          <w:szCs w:val="28"/>
        </w:rPr>
        <w:t>建设项目环境影响评价范围</w:t>
      </w:r>
      <w:bookmarkEnd w:id="24"/>
    </w:p>
    <w:p w:rsidR="005E49F7" w:rsidRDefault="005E49F7" w:rsidP="00D23914">
      <w:pPr>
        <w:pStyle w:val="11"/>
        <w:ind w:firstLine="31680"/>
      </w:pPr>
      <w:r>
        <w:rPr>
          <w:rFonts w:hAnsi="宋体" w:cs="宋体" w:hint="eastAsia"/>
        </w:rPr>
        <w:t>根据《规划环境影响评价技术导则</w:t>
      </w:r>
      <w:r>
        <w:t>—</w:t>
      </w:r>
      <w:r>
        <w:rPr>
          <w:rFonts w:hAnsi="宋体" w:cs="宋体" w:hint="eastAsia"/>
        </w:rPr>
        <w:t>总纲》（</w:t>
      </w:r>
      <w:r>
        <w:t>HJ 130-2014</w:t>
      </w:r>
      <w:r>
        <w:rPr>
          <w:rFonts w:hAnsi="宋体" w:cs="宋体" w:hint="eastAsia"/>
        </w:rPr>
        <w:t>）中评价范围的确定原则，充分考虑规划的地域范围与各环境要素的特征，本次环境影响评价主要根据规划覆盖范围、港口功能和性质、对环境影响特点以及承受载体的不同确定评价范围。即评价主要范围为梅州市琴江干流、梅江干流、韩江干流岸线港口水域和周边陆域范围，以及周边可能受港口发展影响的水域、陆域范围。</w:t>
      </w:r>
    </w:p>
    <w:p w:rsidR="005E49F7" w:rsidRDefault="005E49F7" w:rsidP="00D23914">
      <w:pPr>
        <w:pStyle w:val="11"/>
        <w:ind w:firstLine="31680"/>
      </w:pPr>
      <w:r>
        <w:rPr>
          <w:rFonts w:hAnsi="宋体" w:cs="宋体" w:hint="eastAsia"/>
        </w:rPr>
        <w:t>本次规划环评中各个要素的评价分为如表</w:t>
      </w:r>
      <w:r>
        <w:t>2.1-1</w:t>
      </w:r>
      <w:r>
        <w:rPr>
          <w:rFonts w:hAnsi="宋体" w:cs="宋体" w:hint="eastAsia"/>
        </w:rPr>
        <w:t>所示。</w:t>
      </w:r>
    </w:p>
    <w:p w:rsidR="005E49F7" w:rsidRDefault="005E49F7">
      <w:pPr>
        <w:pStyle w:val="af1"/>
        <w:spacing w:beforeLines="0"/>
        <w:rPr>
          <w:rFonts w:eastAsia="宋体"/>
          <w:b/>
          <w:bCs/>
          <w:sz w:val="21"/>
          <w:szCs w:val="21"/>
        </w:rPr>
      </w:pPr>
      <w:r>
        <w:rPr>
          <w:rFonts w:eastAsia="宋体" w:hAnsi="宋体" w:cs="宋体" w:hint="eastAsia"/>
          <w:b/>
          <w:bCs/>
          <w:sz w:val="21"/>
          <w:szCs w:val="21"/>
        </w:rPr>
        <w:t>表</w:t>
      </w:r>
      <w:r>
        <w:rPr>
          <w:rFonts w:eastAsia="宋体"/>
          <w:b/>
          <w:bCs/>
          <w:sz w:val="21"/>
          <w:szCs w:val="21"/>
        </w:rPr>
        <w:t xml:space="preserve">2.1-1  </w:t>
      </w:r>
      <w:r>
        <w:rPr>
          <w:rFonts w:eastAsia="宋体" w:hAnsi="宋体" w:cs="宋体" w:hint="eastAsia"/>
          <w:b/>
          <w:bCs/>
          <w:sz w:val="21"/>
          <w:szCs w:val="21"/>
        </w:rPr>
        <w:t>梅州港总体规划环境影响评价的范围</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4"/>
        <w:gridCol w:w="1512"/>
        <w:gridCol w:w="6374"/>
      </w:tblGrid>
      <w:tr w:rsidR="005E49F7">
        <w:trPr>
          <w:trHeight w:val="397"/>
          <w:tblHeader/>
          <w:jc w:val="center"/>
        </w:trPr>
        <w:tc>
          <w:tcPr>
            <w:tcW w:w="834" w:type="dxa"/>
            <w:vAlign w:val="center"/>
          </w:tcPr>
          <w:p w:rsidR="005E49F7" w:rsidRDefault="005E49F7">
            <w:pPr>
              <w:pStyle w:val="20"/>
              <w:spacing w:line="240" w:lineRule="auto"/>
            </w:pPr>
            <w:r>
              <w:rPr>
                <w:rFonts w:hAnsi="宋体" w:cs="宋体" w:hint="eastAsia"/>
              </w:rPr>
              <w:t>序号</w:t>
            </w:r>
          </w:p>
        </w:tc>
        <w:tc>
          <w:tcPr>
            <w:tcW w:w="1512" w:type="dxa"/>
            <w:vAlign w:val="center"/>
          </w:tcPr>
          <w:p w:rsidR="005E49F7" w:rsidRDefault="005E49F7">
            <w:pPr>
              <w:pStyle w:val="20"/>
              <w:spacing w:line="240" w:lineRule="auto"/>
            </w:pPr>
            <w:r>
              <w:rPr>
                <w:rFonts w:hAnsi="宋体" w:cs="宋体" w:hint="eastAsia"/>
              </w:rPr>
              <w:t>环境要素</w:t>
            </w:r>
          </w:p>
        </w:tc>
        <w:tc>
          <w:tcPr>
            <w:tcW w:w="6374" w:type="dxa"/>
            <w:vAlign w:val="center"/>
          </w:tcPr>
          <w:p w:rsidR="005E49F7" w:rsidRDefault="005E49F7">
            <w:pPr>
              <w:pStyle w:val="20"/>
              <w:spacing w:line="240" w:lineRule="auto"/>
            </w:pPr>
            <w:r>
              <w:rPr>
                <w:rFonts w:hAnsi="宋体" w:cs="宋体" w:hint="eastAsia"/>
              </w:rPr>
              <w:t>评价范围</w:t>
            </w:r>
          </w:p>
        </w:tc>
      </w:tr>
      <w:tr w:rsidR="005E49F7">
        <w:trPr>
          <w:cantSplit/>
          <w:trHeight w:val="397"/>
          <w:jc w:val="center"/>
        </w:trPr>
        <w:tc>
          <w:tcPr>
            <w:tcW w:w="834" w:type="dxa"/>
            <w:vAlign w:val="center"/>
          </w:tcPr>
          <w:p w:rsidR="005E49F7" w:rsidRDefault="005E49F7">
            <w:pPr>
              <w:pStyle w:val="20"/>
              <w:spacing w:line="240" w:lineRule="auto"/>
            </w:pPr>
            <w:r>
              <w:t>1</w:t>
            </w:r>
          </w:p>
        </w:tc>
        <w:tc>
          <w:tcPr>
            <w:tcW w:w="1512" w:type="dxa"/>
            <w:vAlign w:val="center"/>
          </w:tcPr>
          <w:p w:rsidR="005E49F7" w:rsidRDefault="005E49F7">
            <w:pPr>
              <w:pStyle w:val="20"/>
              <w:spacing w:line="240" w:lineRule="auto"/>
            </w:pPr>
            <w:r>
              <w:rPr>
                <w:rFonts w:hAnsi="宋体" w:cs="宋体" w:hint="eastAsia"/>
              </w:rPr>
              <w:t>水环境</w:t>
            </w:r>
          </w:p>
        </w:tc>
        <w:tc>
          <w:tcPr>
            <w:tcW w:w="6374" w:type="dxa"/>
            <w:vAlign w:val="center"/>
          </w:tcPr>
          <w:p w:rsidR="005E49F7" w:rsidRDefault="005E49F7">
            <w:pPr>
              <w:pStyle w:val="20"/>
              <w:spacing w:line="240" w:lineRule="auto"/>
            </w:pPr>
            <w:r>
              <w:rPr>
                <w:rFonts w:hAnsi="宋体" w:cs="宋体" w:hint="eastAsia"/>
              </w:rPr>
              <w:t>包括规划涉及的梅州市境内韩江、梅江、汀江等河流沿江岸线及其水陆域。</w:t>
            </w:r>
          </w:p>
          <w:p w:rsidR="005E49F7" w:rsidRDefault="005E49F7">
            <w:pPr>
              <w:pStyle w:val="20"/>
              <w:spacing w:line="240" w:lineRule="auto"/>
            </w:pPr>
            <w:r>
              <w:rPr>
                <w:rFonts w:hAnsi="宋体" w:cs="宋体" w:hint="eastAsia"/>
              </w:rPr>
              <w:t>侧重于规划重点的港区和岸线所影响到的饮用水源保护区。</w:t>
            </w:r>
          </w:p>
        </w:tc>
      </w:tr>
      <w:tr w:rsidR="005E49F7">
        <w:trPr>
          <w:cantSplit/>
          <w:trHeight w:val="397"/>
          <w:jc w:val="center"/>
        </w:trPr>
        <w:tc>
          <w:tcPr>
            <w:tcW w:w="834" w:type="dxa"/>
            <w:vAlign w:val="center"/>
          </w:tcPr>
          <w:p w:rsidR="005E49F7" w:rsidRDefault="005E49F7">
            <w:pPr>
              <w:pStyle w:val="20"/>
              <w:spacing w:line="240" w:lineRule="auto"/>
            </w:pPr>
            <w:r>
              <w:t>2</w:t>
            </w:r>
          </w:p>
        </w:tc>
        <w:tc>
          <w:tcPr>
            <w:tcW w:w="1512" w:type="dxa"/>
            <w:vAlign w:val="center"/>
          </w:tcPr>
          <w:p w:rsidR="005E49F7" w:rsidRDefault="005E49F7">
            <w:pPr>
              <w:pStyle w:val="20"/>
              <w:spacing w:line="240" w:lineRule="auto"/>
            </w:pPr>
            <w:r>
              <w:rPr>
                <w:rFonts w:hAnsi="宋体" w:cs="宋体" w:hint="eastAsia"/>
              </w:rPr>
              <w:t>生态环境</w:t>
            </w:r>
          </w:p>
        </w:tc>
        <w:tc>
          <w:tcPr>
            <w:tcW w:w="6374" w:type="dxa"/>
            <w:vAlign w:val="center"/>
          </w:tcPr>
          <w:p w:rsidR="005E49F7" w:rsidRDefault="005E49F7">
            <w:pPr>
              <w:pStyle w:val="20"/>
              <w:spacing w:line="240" w:lineRule="auto"/>
            </w:pPr>
            <w:r>
              <w:rPr>
                <w:rFonts w:hAnsi="宋体" w:cs="宋体" w:hint="eastAsia"/>
              </w:rPr>
              <w:t>规划范围可能影响到的生态敏感区，侧重于规划重点的港区所影响到的自然保护区、水生生态敏感区。</w:t>
            </w:r>
          </w:p>
        </w:tc>
      </w:tr>
      <w:tr w:rsidR="005E49F7">
        <w:trPr>
          <w:cantSplit/>
          <w:trHeight w:val="397"/>
          <w:jc w:val="center"/>
        </w:trPr>
        <w:tc>
          <w:tcPr>
            <w:tcW w:w="834" w:type="dxa"/>
            <w:vAlign w:val="center"/>
          </w:tcPr>
          <w:p w:rsidR="005E49F7" w:rsidRDefault="005E49F7">
            <w:pPr>
              <w:pStyle w:val="20"/>
              <w:spacing w:line="240" w:lineRule="auto"/>
            </w:pPr>
            <w:r>
              <w:t>3</w:t>
            </w:r>
          </w:p>
        </w:tc>
        <w:tc>
          <w:tcPr>
            <w:tcW w:w="1512" w:type="dxa"/>
            <w:vAlign w:val="center"/>
          </w:tcPr>
          <w:p w:rsidR="005E49F7" w:rsidRDefault="005E49F7">
            <w:pPr>
              <w:pStyle w:val="20"/>
              <w:spacing w:line="240" w:lineRule="auto"/>
            </w:pPr>
            <w:r>
              <w:rPr>
                <w:rFonts w:hAnsi="宋体" w:cs="宋体" w:hint="eastAsia"/>
              </w:rPr>
              <w:t>大气环境</w:t>
            </w:r>
          </w:p>
        </w:tc>
        <w:tc>
          <w:tcPr>
            <w:tcW w:w="6374" w:type="dxa"/>
            <w:vAlign w:val="center"/>
          </w:tcPr>
          <w:p w:rsidR="005E49F7" w:rsidRDefault="005E49F7">
            <w:pPr>
              <w:pStyle w:val="20"/>
              <w:spacing w:line="240" w:lineRule="auto"/>
            </w:pPr>
            <w:r>
              <w:rPr>
                <w:rFonts w:hAnsi="宋体" w:cs="宋体" w:hint="eastAsia"/>
              </w:rPr>
              <w:t>重点为规划港区陆地区域及周边可能受影响的大气敏感区</w:t>
            </w:r>
          </w:p>
        </w:tc>
      </w:tr>
      <w:tr w:rsidR="005E49F7">
        <w:trPr>
          <w:cantSplit/>
          <w:trHeight w:val="397"/>
          <w:jc w:val="center"/>
        </w:trPr>
        <w:tc>
          <w:tcPr>
            <w:tcW w:w="834" w:type="dxa"/>
            <w:vAlign w:val="center"/>
          </w:tcPr>
          <w:p w:rsidR="005E49F7" w:rsidRDefault="005E49F7">
            <w:pPr>
              <w:pStyle w:val="20"/>
              <w:spacing w:line="240" w:lineRule="auto"/>
            </w:pPr>
            <w:r>
              <w:t>4</w:t>
            </w:r>
          </w:p>
        </w:tc>
        <w:tc>
          <w:tcPr>
            <w:tcW w:w="1512" w:type="dxa"/>
            <w:vAlign w:val="center"/>
          </w:tcPr>
          <w:p w:rsidR="005E49F7" w:rsidRDefault="005E49F7">
            <w:pPr>
              <w:pStyle w:val="20"/>
              <w:spacing w:line="240" w:lineRule="auto"/>
            </w:pPr>
            <w:r>
              <w:rPr>
                <w:rFonts w:hAnsi="宋体" w:cs="宋体" w:hint="eastAsia"/>
              </w:rPr>
              <w:t>声环境</w:t>
            </w:r>
          </w:p>
        </w:tc>
        <w:tc>
          <w:tcPr>
            <w:tcW w:w="6374" w:type="dxa"/>
            <w:vAlign w:val="center"/>
          </w:tcPr>
          <w:p w:rsidR="005E49F7" w:rsidRDefault="005E49F7">
            <w:pPr>
              <w:pStyle w:val="20"/>
              <w:spacing w:line="240" w:lineRule="auto"/>
            </w:pPr>
            <w:r>
              <w:rPr>
                <w:rFonts w:hAnsi="宋体" w:cs="宋体" w:hint="eastAsia"/>
              </w:rPr>
              <w:t>规划港区陆地区域及周边可能受影响的声敏感区</w:t>
            </w:r>
          </w:p>
        </w:tc>
      </w:tr>
      <w:tr w:rsidR="005E49F7">
        <w:trPr>
          <w:cantSplit/>
          <w:trHeight w:val="397"/>
          <w:jc w:val="center"/>
        </w:trPr>
        <w:tc>
          <w:tcPr>
            <w:tcW w:w="834" w:type="dxa"/>
            <w:vAlign w:val="center"/>
          </w:tcPr>
          <w:p w:rsidR="005E49F7" w:rsidRDefault="005E49F7">
            <w:pPr>
              <w:pStyle w:val="20"/>
              <w:spacing w:line="240" w:lineRule="auto"/>
            </w:pPr>
            <w:r>
              <w:t>5</w:t>
            </w:r>
          </w:p>
        </w:tc>
        <w:tc>
          <w:tcPr>
            <w:tcW w:w="1512" w:type="dxa"/>
            <w:vAlign w:val="center"/>
          </w:tcPr>
          <w:p w:rsidR="005E49F7" w:rsidRDefault="005E49F7">
            <w:pPr>
              <w:pStyle w:val="20"/>
              <w:spacing w:line="240" w:lineRule="auto"/>
              <w:rPr>
                <w:rStyle w:val="110"/>
              </w:rPr>
            </w:pPr>
            <w:r>
              <w:rPr>
                <w:rStyle w:val="110"/>
                <w:rFonts w:hAnsi="宋体" w:cs="宋体" w:hint="eastAsia"/>
              </w:rPr>
              <w:t>固体废物管理</w:t>
            </w:r>
          </w:p>
        </w:tc>
        <w:tc>
          <w:tcPr>
            <w:tcW w:w="6374" w:type="dxa"/>
            <w:vAlign w:val="center"/>
          </w:tcPr>
          <w:p w:rsidR="005E49F7" w:rsidRDefault="005E49F7">
            <w:pPr>
              <w:pStyle w:val="20"/>
              <w:spacing w:line="240" w:lineRule="auto"/>
              <w:rPr>
                <w:rStyle w:val="110"/>
              </w:rPr>
            </w:pPr>
            <w:r>
              <w:rPr>
                <w:rStyle w:val="110"/>
                <w:rFonts w:hAnsi="宋体" w:cs="宋体" w:hint="eastAsia"/>
              </w:rPr>
              <w:t>规划港口固体废物收集、存储转运及处置场所</w:t>
            </w:r>
          </w:p>
        </w:tc>
      </w:tr>
      <w:tr w:rsidR="005E49F7">
        <w:trPr>
          <w:cantSplit/>
          <w:trHeight w:val="397"/>
          <w:jc w:val="center"/>
        </w:trPr>
        <w:tc>
          <w:tcPr>
            <w:tcW w:w="834" w:type="dxa"/>
            <w:vAlign w:val="center"/>
          </w:tcPr>
          <w:p w:rsidR="005E49F7" w:rsidRDefault="005E49F7">
            <w:pPr>
              <w:pStyle w:val="20"/>
              <w:spacing w:line="240" w:lineRule="auto"/>
            </w:pPr>
            <w:r>
              <w:t>6</w:t>
            </w:r>
          </w:p>
        </w:tc>
        <w:tc>
          <w:tcPr>
            <w:tcW w:w="1512" w:type="dxa"/>
            <w:vAlign w:val="center"/>
          </w:tcPr>
          <w:p w:rsidR="005E49F7" w:rsidRDefault="005E49F7">
            <w:pPr>
              <w:pStyle w:val="20"/>
              <w:spacing w:line="240" w:lineRule="auto"/>
            </w:pPr>
            <w:r>
              <w:rPr>
                <w:rFonts w:hAnsi="宋体" w:cs="宋体" w:hint="eastAsia"/>
              </w:rPr>
              <w:t>社会环境</w:t>
            </w:r>
          </w:p>
        </w:tc>
        <w:tc>
          <w:tcPr>
            <w:tcW w:w="6374" w:type="dxa"/>
            <w:vAlign w:val="center"/>
          </w:tcPr>
          <w:p w:rsidR="005E49F7" w:rsidRDefault="005E49F7">
            <w:pPr>
              <w:pStyle w:val="20"/>
              <w:spacing w:line="240" w:lineRule="auto"/>
            </w:pPr>
            <w:r>
              <w:rPr>
                <w:rFonts w:hAnsi="宋体" w:cs="宋体" w:hint="eastAsia"/>
              </w:rPr>
              <w:t>梅州</w:t>
            </w:r>
            <w:r>
              <w:rPr>
                <w:rStyle w:val="110"/>
                <w:rFonts w:hAnsi="宋体" w:cs="宋体" w:hint="eastAsia"/>
              </w:rPr>
              <w:t>市</w:t>
            </w:r>
          </w:p>
        </w:tc>
      </w:tr>
    </w:tbl>
    <w:p w:rsidR="005E49F7" w:rsidRDefault="005E49F7">
      <w:pPr>
        <w:spacing w:line="360" w:lineRule="auto"/>
        <w:jc w:val="left"/>
        <w:outlineLvl w:val="0"/>
        <w:rPr>
          <w:rFonts w:ascii="宋体"/>
          <w:b/>
          <w:bCs/>
          <w:sz w:val="28"/>
          <w:szCs w:val="28"/>
        </w:rPr>
      </w:pPr>
    </w:p>
    <w:p w:rsidR="005E49F7" w:rsidRDefault="005E49F7">
      <w:pPr>
        <w:spacing w:line="360" w:lineRule="auto"/>
        <w:jc w:val="left"/>
        <w:outlineLvl w:val="0"/>
        <w:rPr>
          <w:rFonts w:ascii="宋体"/>
          <w:b/>
          <w:bCs/>
          <w:sz w:val="28"/>
          <w:szCs w:val="28"/>
        </w:rPr>
      </w:pPr>
      <w:bookmarkStart w:id="25" w:name="_Toc23447"/>
      <w:r>
        <w:rPr>
          <w:rFonts w:ascii="宋体" w:hAnsi="宋体" w:cs="宋体"/>
          <w:b/>
          <w:bCs/>
          <w:sz w:val="28"/>
          <w:szCs w:val="28"/>
        </w:rPr>
        <w:t>3</w:t>
      </w:r>
      <w:r>
        <w:rPr>
          <w:rFonts w:ascii="宋体" w:hAnsi="宋体" w:cs="宋体" w:hint="eastAsia"/>
          <w:b/>
          <w:bCs/>
          <w:sz w:val="28"/>
          <w:szCs w:val="28"/>
        </w:rPr>
        <w:t>建设项目环境影响预测及拟采取的主要措施与效果</w:t>
      </w:r>
      <w:bookmarkEnd w:id="25"/>
    </w:p>
    <w:p w:rsidR="005E49F7" w:rsidRDefault="005E49F7">
      <w:pPr>
        <w:spacing w:line="360" w:lineRule="auto"/>
        <w:jc w:val="left"/>
        <w:outlineLvl w:val="1"/>
        <w:rPr>
          <w:rFonts w:ascii="宋体"/>
          <w:b/>
          <w:bCs/>
          <w:sz w:val="28"/>
          <w:szCs w:val="28"/>
        </w:rPr>
      </w:pPr>
      <w:bookmarkStart w:id="26" w:name="_Toc18137"/>
      <w:r>
        <w:rPr>
          <w:rFonts w:ascii="宋体" w:hAnsi="宋体" w:cs="宋体"/>
          <w:b/>
          <w:bCs/>
          <w:sz w:val="28"/>
          <w:szCs w:val="28"/>
        </w:rPr>
        <w:t>3.1</w:t>
      </w:r>
      <w:r>
        <w:rPr>
          <w:rFonts w:ascii="宋体" w:hAnsi="宋体" w:cs="宋体" w:hint="eastAsia"/>
          <w:b/>
          <w:bCs/>
          <w:sz w:val="28"/>
          <w:szCs w:val="28"/>
        </w:rPr>
        <w:t>建设项目环境影响预测</w:t>
      </w:r>
      <w:bookmarkEnd w:id="26"/>
    </w:p>
    <w:p w:rsidR="005E49F7" w:rsidRDefault="005E49F7">
      <w:pPr>
        <w:spacing w:line="360" w:lineRule="auto"/>
        <w:jc w:val="left"/>
        <w:outlineLvl w:val="2"/>
        <w:rPr>
          <w:rFonts w:ascii="宋体"/>
          <w:b/>
          <w:bCs/>
        </w:rPr>
      </w:pPr>
      <w:r>
        <w:rPr>
          <w:rFonts w:ascii="宋体" w:hAnsi="宋体" w:cs="宋体"/>
          <w:b/>
          <w:bCs/>
        </w:rPr>
        <w:t>3.1.1</w:t>
      </w:r>
      <w:r>
        <w:rPr>
          <w:rFonts w:ascii="宋体" w:hAnsi="宋体" w:cs="宋体" w:hint="eastAsia"/>
          <w:b/>
          <w:bCs/>
        </w:rPr>
        <w:t>水环境影响预测</w:t>
      </w:r>
    </w:p>
    <w:p w:rsidR="005E49F7" w:rsidRDefault="005E49F7" w:rsidP="00D23914">
      <w:pPr>
        <w:pStyle w:val="11"/>
        <w:ind w:firstLine="31680"/>
      </w:pPr>
      <w:r>
        <w:rPr>
          <w:rFonts w:cs="宋体" w:hint="eastAsia"/>
        </w:rPr>
        <w:t>（</w:t>
      </w:r>
      <w:r>
        <w:t>1</w:t>
      </w:r>
      <w:r>
        <w:rPr>
          <w:rFonts w:cs="宋体" w:hint="eastAsia"/>
        </w:rPr>
        <w:t>）建设期</w:t>
      </w:r>
    </w:p>
    <w:p w:rsidR="005E49F7" w:rsidRDefault="005E49F7" w:rsidP="00D23914">
      <w:pPr>
        <w:pStyle w:val="11"/>
        <w:ind w:firstLine="31680"/>
      </w:pPr>
      <w:r>
        <w:rPr>
          <w:rFonts w:cs="宋体" w:hint="eastAsia"/>
        </w:rPr>
        <w:t>虽然建设期的环境影响具有时段性，施工结束后，部分环境质量可以恢复，但由于规划区面积较大，规划的建设项目较多，建设期会比较长。因此，建设期间产生的各种水污染影响因素不可忽略。</w:t>
      </w:r>
    </w:p>
    <w:p w:rsidR="005E49F7" w:rsidRDefault="005E49F7" w:rsidP="00D23914">
      <w:pPr>
        <w:pStyle w:val="11"/>
        <w:ind w:firstLine="31680"/>
      </w:pPr>
      <w:r>
        <w:rPr>
          <w:rFonts w:cs="宋体" w:hint="eastAsia"/>
        </w:rPr>
        <w:t>为减少施工废水对水域环境的影响，应采用先进的施工方法，选择先进的疏浚设备及定期维护、疏浚作业的施工工艺控制、疏浚作业季节及作业周期、合理安排施工进度、疏浚物的最终处置方式和地点等几个方面采取措施，对疏浚作业可能造成的污染、恶化水环境质量的环节加以控制。</w:t>
      </w:r>
    </w:p>
    <w:p w:rsidR="005E49F7" w:rsidRDefault="005E49F7" w:rsidP="00D23914">
      <w:pPr>
        <w:pStyle w:val="11"/>
        <w:ind w:firstLine="31680"/>
      </w:pPr>
      <w:r>
        <w:rPr>
          <w:rFonts w:cs="宋体" w:hint="eastAsia"/>
        </w:rPr>
        <w:t>同时，由于梅州市境内各水道水环境质量要求较高，多数规划水质类别为地表水Ⅱ类。根据《广东省地表水功能区划》（粤府函</w:t>
      </w:r>
      <w:r>
        <w:t>[2011]14</w:t>
      </w:r>
      <w:r>
        <w:rPr>
          <w:rFonts w:cs="宋体" w:hint="eastAsia"/>
        </w:rPr>
        <w:t>号文）批复，《梅州港总体规划》中涉及的规划岸线贯穿梅州市内梅江干流，汀江，韩江水质控制目标和管理目标全部为</w:t>
      </w:r>
      <w:r>
        <w:rPr>
          <w:rFonts w:ascii="宋体" w:hAnsi="宋体" w:cs="宋体" w:hint="eastAsia"/>
        </w:rPr>
        <w:t>Ⅱ</w:t>
      </w:r>
      <w:r>
        <w:rPr>
          <w:rFonts w:cs="宋体" w:hint="eastAsia"/>
        </w:rPr>
        <w:t>类，</w:t>
      </w:r>
      <w:r>
        <w:rPr>
          <w:rFonts w:hAnsi="宋体" w:cs="宋体" w:hint="eastAsia"/>
        </w:rPr>
        <w:t>按照规定应禁止港口码头建设期以及进出港口码头的船舶在港区水域排放污水</w:t>
      </w:r>
      <w:r>
        <w:rPr>
          <w:rFonts w:ascii="宋体" w:hAnsi="宋体" w:cs="宋体" w:hint="eastAsia"/>
        </w:rPr>
        <w:t>。</w:t>
      </w:r>
      <w:r>
        <w:rPr>
          <w:rFonts w:cs="宋体" w:hint="eastAsia"/>
        </w:rPr>
        <w:t>梅州港港区生产废水和生活污水必须经过污水处理系统统一处理后排放，梅州港规划涉及的整个流域禁止设立排污口，因此工程建设期间严禁各类生活污水和施工废水直接排入水道。</w:t>
      </w:r>
    </w:p>
    <w:p w:rsidR="005E49F7" w:rsidRDefault="005E49F7" w:rsidP="00D23914">
      <w:pPr>
        <w:numPr>
          <w:ilvl w:val="0"/>
          <w:numId w:val="12"/>
        </w:numPr>
        <w:spacing w:line="360" w:lineRule="auto"/>
        <w:ind w:leftChars="200" w:left="31680"/>
        <w:jc w:val="left"/>
        <w:outlineLvl w:val="0"/>
      </w:pPr>
      <w:bookmarkStart w:id="27" w:name="_Toc18347"/>
      <w:r>
        <w:rPr>
          <w:rFonts w:ascii="宋体" w:hAnsi="宋体" w:cs="宋体" w:hint="eastAsia"/>
        </w:rPr>
        <w:t>运营期</w:t>
      </w:r>
      <w:bookmarkEnd w:id="27"/>
    </w:p>
    <w:p w:rsidR="005E49F7" w:rsidRDefault="005E49F7" w:rsidP="00D23914">
      <w:pPr>
        <w:pStyle w:val="11"/>
        <w:ind w:firstLine="31680"/>
      </w:pPr>
      <w:r>
        <w:rPr>
          <w:rFonts w:cs="宋体" w:hint="eastAsia"/>
        </w:rPr>
        <w:t>港区水污染源主要包括港区生活污水和船舶污水等，从污水类型可细分为：</w:t>
      </w:r>
    </w:p>
    <w:p w:rsidR="005E49F7" w:rsidRDefault="005E49F7">
      <w:pPr>
        <w:pStyle w:val="11"/>
        <w:ind w:firstLineChars="0" w:firstLine="0"/>
      </w:pPr>
      <w:r>
        <w:rPr>
          <w:rFonts w:cs="宋体" w:hint="eastAsia"/>
        </w:rPr>
        <w:t>①生活污水，包括港区及船舶生活污水等；②集装箱洗箱水；③含油废水，包括油船压舱水、船舶舱底水、岸上机修间和流动机械冲洗水等；④径流污水，降雨、冲洗、降尘喷洒等在港区形成径流水，其中主要是煤炭和矿石等作业区容易产生大量径流污水。本报告对梅州港产生的生活污水、含油废水以及径流污水等水污染源强作了估算，通过估算分析，汇总各港区污水产生量，梅州港区</w:t>
      </w:r>
      <w:r>
        <w:t>2020</w:t>
      </w:r>
      <w:r>
        <w:rPr>
          <w:rFonts w:cs="宋体" w:hint="eastAsia"/>
        </w:rPr>
        <w:t>年、</w:t>
      </w:r>
      <w:r>
        <w:t>2030</w:t>
      </w:r>
      <w:r>
        <w:rPr>
          <w:rFonts w:cs="宋体" w:hint="eastAsia"/>
        </w:rPr>
        <w:t>年污水排放总量分别为</w:t>
      </w:r>
      <w:r>
        <w:t>194.87t/d</w:t>
      </w:r>
      <w:r>
        <w:rPr>
          <w:rFonts w:cs="宋体" w:hint="eastAsia"/>
        </w:rPr>
        <w:t>、</w:t>
      </w:r>
      <w:r>
        <w:t>268.23t/d</w:t>
      </w:r>
      <w:r>
        <w:rPr>
          <w:rFonts w:cs="宋体" w:hint="eastAsia"/>
        </w:rPr>
        <w:t>。大浦港区</w:t>
      </w:r>
      <w:r>
        <w:t>2020</w:t>
      </w:r>
      <w:r>
        <w:rPr>
          <w:rFonts w:cs="宋体" w:hint="eastAsia"/>
        </w:rPr>
        <w:t>年、</w:t>
      </w:r>
      <w:r>
        <w:t>2030</w:t>
      </w:r>
      <w:r>
        <w:rPr>
          <w:rFonts w:cs="宋体" w:hint="eastAsia"/>
        </w:rPr>
        <w:t>年污水排放总量分别为</w:t>
      </w:r>
      <w:r>
        <w:t>68.93t/d</w:t>
      </w:r>
      <w:r>
        <w:rPr>
          <w:rFonts w:cs="宋体" w:hint="eastAsia"/>
        </w:rPr>
        <w:t>、</w:t>
      </w:r>
      <w:r>
        <w:t>74.04t/d</w:t>
      </w:r>
      <w:r>
        <w:rPr>
          <w:rFonts w:cs="宋体" w:hint="eastAsia"/>
        </w:rPr>
        <w:t>。</w:t>
      </w:r>
    </w:p>
    <w:p w:rsidR="005E49F7" w:rsidRDefault="005E49F7" w:rsidP="00D23914">
      <w:pPr>
        <w:pStyle w:val="11"/>
        <w:ind w:firstLine="31680"/>
      </w:pPr>
      <w:r>
        <w:rPr>
          <w:rFonts w:ascii="宋体" w:hAnsi="宋体" w:cs="宋体" w:hint="eastAsia"/>
        </w:rPr>
        <w:t>《梅州港总体规划》涉及岸线及水库的水质保护目标和管理目标为Ⅱ</w:t>
      </w:r>
      <w:r>
        <w:rPr>
          <w:rFonts w:ascii="宋体" w:cs="宋体"/>
        </w:rPr>
        <w:t>-</w:t>
      </w:r>
      <w:r>
        <w:rPr>
          <w:rFonts w:ascii="宋体" w:hAnsi="宋体" w:cs="宋体" w:hint="eastAsia"/>
        </w:rPr>
        <w:t>Ⅲ类，港区污水的去向成为规划实施的制约因素，梅州港区</w:t>
      </w:r>
      <w:r>
        <w:rPr>
          <w:rFonts w:cs="宋体" w:hint="eastAsia"/>
        </w:rPr>
        <w:t>港区应采用雨、污分流制。各港区雨水、生活污水、生产污水分流排水系统。对不需处理地表雨水，通过排水系统直接排入江中；对散货雨淋形成的污水、清洗车辆及含油污水、船舶废弃物及洗舱、化学品残留物产生的污水，先经港区自行沉降油水分离后，再集中排入市政污水管网，经污水厂处理达标后统一排放。</w:t>
      </w:r>
      <w:r>
        <w:rPr>
          <w:rFonts w:hAnsi="宋体" w:cs="宋体" w:hint="eastAsia"/>
        </w:rPr>
        <w:t>港区生产和生活污水</w:t>
      </w:r>
      <w:r>
        <w:rPr>
          <w:rFonts w:ascii="宋体" w:hAnsi="宋体" w:cs="宋体" w:hint="eastAsia"/>
        </w:rPr>
        <w:t>禁止直接排入附近水体。</w:t>
      </w:r>
      <w:r>
        <w:rPr>
          <w:rFonts w:cs="宋体" w:hint="eastAsia"/>
        </w:rPr>
        <w:t>现有件杂货作业区的生活污水，纳入城市污水处理系统。散货作业区的含煤、含油污水进行回收处理后，或用于防尘环保用水或排放。航行船舶应装油水分离器，进港或在港船舶应由陆上接收设备处理达标后排放，码头水域不得排放舱底油污水，实现港区生产废水和生活污水零排放。</w:t>
      </w:r>
    </w:p>
    <w:p w:rsidR="005E49F7" w:rsidRDefault="005E49F7" w:rsidP="00D23914">
      <w:pPr>
        <w:pStyle w:val="11"/>
        <w:ind w:firstLine="31680"/>
        <w:rPr>
          <w:kern w:val="0"/>
        </w:rPr>
      </w:pPr>
      <w:r>
        <w:rPr>
          <w:rFonts w:cs="宋体" w:hint="eastAsia"/>
        </w:rPr>
        <w:t>根据《广东省饮用水源水质保护条例》和《广东省韩江水系水质保护条例》，在一级水源保护区内“禁止新建、扩建与供水设施和保护水源无关的建设项目。”对于涉及自来水厂取水口的河段，禁止进行疏浚工程，禁止在饮用水源保护区内设置排污口，禁止排放</w:t>
      </w:r>
      <w:r>
        <w:rPr>
          <w:rFonts w:cs="宋体" w:hint="eastAsia"/>
          <w:kern w:val="0"/>
        </w:rPr>
        <w:t>、倾倒、堆放、填埋、焚烧剧毒物品、放射性物质以及油类、酸碱类物质、工业废渣、生活垃圾、医疗废物、粪便及其他废弃物，禁止从事船舶修理和拆解作业；同时严禁利用码头等设施装卸油类、垃圾、粪便、煤、有毒有害物品，</w:t>
      </w:r>
      <w:r>
        <w:rPr>
          <w:rFonts w:cs="宋体" w:hint="eastAsia"/>
        </w:rPr>
        <w:t>禁止在韩江流域中运输、装卸油类，防治溢油事故对韩江饮用水源保护区造成影响，本项目不涉及饮用水源保护区，因此对韩江水源影响不大。</w:t>
      </w:r>
    </w:p>
    <w:p w:rsidR="005E49F7" w:rsidRDefault="005E49F7">
      <w:pPr>
        <w:spacing w:line="360" w:lineRule="auto"/>
        <w:jc w:val="left"/>
        <w:outlineLvl w:val="2"/>
        <w:rPr>
          <w:rFonts w:ascii="宋体"/>
          <w:b/>
          <w:bCs/>
        </w:rPr>
      </w:pPr>
      <w:r>
        <w:rPr>
          <w:rFonts w:ascii="宋体" w:hAnsi="宋体" w:cs="宋体"/>
          <w:b/>
          <w:bCs/>
        </w:rPr>
        <w:t>3.1.2</w:t>
      </w:r>
      <w:r>
        <w:rPr>
          <w:rFonts w:ascii="宋体" w:hAnsi="宋体" w:cs="宋体" w:hint="eastAsia"/>
          <w:b/>
          <w:bCs/>
        </w:rPr>
        <w:t>噪声环境影响预测与评价</w:t>
      </w:r>
    </w:p>
    <w:p w:rsidR="005E49F7" w:rsidRDefault="005E49F7" w:rsidP="00D23914">
      <w:pPr>
        <w:numPr>
          <w:ilvl w:val="0"/>
          <w:numId w:val="13"/>
        </w:numPr>
        <w:spacing w:line="360" w:lineRule="auto"/>
        <w:ind w:firstLineChars="200" w:firstLine="31680"/>
        <w:jc w:val="left"/>
        <w:outlineLvl w:val="0"/>
      </w:pPr>
      <w:bookmarkStart w:id="28" w:name="_Toc32606"/>
      <w:r>
        <w:rPr>
          <w:rFonts w:cs="宋体" w:hint="eastAsia"/>
        </w:rPr>
        <w:t>建设期</w:t>
      </w:r>
      <w:bookmarkEnd w:id="28"/>
    </w:p>
    <w:p w:rsidR="005E49F7" w:rsidRDefault="005E49F7" w:rsidP="00D23914">
      <w:pPr>
        <w:spacing w:line="360" w:lineRule="auto"/>
        <w:ind w:firstLineChars="200" w:firstLine="31680"/>
        <w:jc w:val="left"/>
        <w:outlineLvl w:val="0"/>
        <w:rPr>
          <w:kern w:val="0"/>
        </w:rPr>
      </w:pPr>
      <w:bookmarkStart w:id="29" w:name="_Toc25595"/>
      <w:r>
        <w:rPr>
          <w:rFonts w:cs="宋体" w:hint="eastAsia"/>
          <w:kern w:val="0"/>
        </w:rPr>
        <w:t>噪声是施工期的主要污染因子，工程施工期噪声主要是打桩噪声、搅拌机、电锯、吊车等机械噪声，施工船舶噪声，挖掘机、装载机等半流动性施工机械噪声等。尽管施工噪声将对环境产生一定的不利影响，但是通过加强管理，严禁部分机械夜间施工等措施可将其影响降低到最小程度。而且施工期噪声影响是短暂的，一旦施工活动结束，施工噪声及其环境影响也随之结束。</w:t>
      </w:r>
      <w:bookmarkEnd w:id="29"/>
    </w:p>
    <w:p w:rsidR="005E49F7" w:rsidRDefault="005E49F7" w:rsidP="00D23914">
      <w:pPr>
        <w:numPr>
          <w:ilvl w:val="0"/>
          <w:numId w:val="13"/>
        </w:numPr>
        <w:spacing w:line="360" w:lineRule="auto"/>
        <w:ind w:firstLineChars="200" w:firstLine="31680"/>
        <w:jc w:val="left"/>
        <w:outlineLvl w:val="0"/>
        <w:rPr>
          <w:kern w:val="0"/>
        </w:rPr>
      </w:pPr>
      <w:bookmarkStart w:id="30" w:name="_Toc9331"/>
      <w:r>
        <w:rPr>
          <w:rFonts w:cs="宋体" w:hint="eastAsia"/>
          <w:kern w:val="0"/>
        </w:rPr>
        <w:t>运营期</w:t>
      </w:r>
      <w:bookmarkEnd w:id="30"/>
    </w:p>
    <w:p w:rsidR="005E49F7" w:rsidRDefault="005E49F7" w:rsidP="00D23914">
      <w:pPr>
        <w:spacing w:line="360" w:lineRule="auto"/>
        <w:ind w:firstLineChars="200" w:firstLine="31680"/>
        <w:jc w:val="left"/>
        <w:outlineLvl w:val="0"/>
        <w:rPr>
          <w:kern w:val="0"/>
        </w:rPr>
      </w:pPr>
      <w:bookmarkStart w:id="31" w:name="_Toc9166"/>
      <w:r>
        <w:rPr>
          <w:kern w:val="0"/>
        </w:rPr>
        <w:t>A</w:t>
      </w:r>
      <w:r>
        <w:rPr>
          <w:rFonts w:cs="宋体" w:hint="eastAsia"/>
          <w:kern w:val="0"/>
        </w:rPr>
        <w:t>、港区噪声环境影响预测分析</w:t>
      </w:r>
      <w:bookmarkEnd w:id="31"/>
    </w:p>
    <w:p w:rsidR="005E49F7" w:rsidRDefault="005E49F7" w:rsidP="00D23914">
      <w:pPr>
        <w:pStyle w:val="ab"/>
        <w:spacing w:line="360" w:lineRule="auto"/>
        <w:ind w:firstLine="31680"/>
        <w:rPr>
          <w:rFonts w:cs="Times New Roman"/>
        </w:rPr>
      </w:pPr>
      <w:r>
        <w:rPr>
          <w:rFonts w:hint="eastAsia"/>
        </w:rPr>
        <w:t>营运期港区的噪声来源主要有两个方面，一个是作业机械和港区内配套设施运转产生的设备噪声，一个是交通噪声。交通噪声主要是由于货物陆地集疏运车辆密度加大而引起的。而设备噪声则是由于设备自身的运转而造成，不同的港口类型所使用的主要设备不同，因此造成的噪声污染形式和程度也有所不同。在梅州港，船舶的鸣笛等可视为暂时性噪声源，船舶航行噪声相对较小，且通常距离居民区等噪声敏感目标较远，因此不对船舶噪声做专门预测。</w:t>
      </w:r>
    </w:p>
    <w:p w:rsidR="005E49F7" w:rsidRDefault="005E49F7" w:rsidP="00D23914">
      <w:pPr>
        <w:pStyle w:val="11"/>
        <w:ind w:firstLine="31680"/>
      </w:pPr>
      <w:r>
        <w:rPr>
          <w:rFonts w:cs="宋体" w:hint="eastAsia"/>
        </w:rPr>
        <w:t>港界应执行《工业企业厂界噪声标准》（</w:t>
      </w:r>
      <w:r>
        <w:t>GB12348-2008</w:t>
      </w:r>
      <w:r>
        <w:rPr>
          <w:rFonts w:cs="宋体" w:hint="eastAsia"/>
        </w:rPr>
        <w:t>）</w:t>
      </w:r>
      <w:r>
        <w:t>3</w:t>
      </w:r>
      <w:r>
        <w:rPr>
          <w:rFonts w:cs="宋体" w:hint="eastAsia"/>
        </w:rPr>
        <w:t>类标准规定，即昼间噪声值低于</w:t>
      </w:r>
      <w:r>
        <w:t>65d B(A)</w:t>
      </w:r>
      <w:r>
        <w:rPr>
          <w:rFonts w:cs="宋体" w:hint="eastAsia"/>
        </w:rPr>
        <w:t>，夜间噪声值低于</w:t>
      </w:r>
      <w:r>
        <w:t>55d B(A)</w:t>
      </w:r>
      <w:r>
        <w:rPr>
          <w:rFonts w:cs="宋体" w:hint="eastAsia"/>
        </w:rPr>
        <w:t>；港界外围的噪声应根据所在的位置和周边实际状况或噪声环境功能区划的相关要求来评价。码头区影响的主要对象是在码头和堆场作业区的工人，应执行《工业企业噪声卫生标准》的规定，如表</w:t>
      </w:r>
      <w:r>
        <w:t>3.1-2</w:t>
      </w:r>
      <w:r>
        <w:rPr>
          <w:rFonts w:cs="宋体" w:hint="eastAsia"/>
        </w:rPr>
        <w:t>所示。</w:t>
      </w:r>
    </w:p>
    <w:p w:rsidR="005E49F7" w:rsidRDefault="005E49F7">
      <w:pPr>
        <w:pStyle w:val="af1"/>
        <w:spacing w:beforeLines="0"/>
        <w:ind w:firstLine="480"/>
      </w:pPr>
      <w:r>
        <w:rPr>
          <w:rFonts w:cs="黑体" w:hint="eastAsia"/>
          <w:b/>
          <w:bCs/>
          <w:sz w:val="21"/>
          <w:szCs w:val="21"/>
        </w:rPr>
        <w:t>表</w:t>
      </w:r>
      <w:r>
        <w:rPr>
          <w:b/>
          <w:bCs/>
          <w:sz w:val="21"/>
          <w:szCs w:val="21"/>
        </w:rPr>
        <w:t xml:space="preserve">3.1-2  </w:t>
      </w:r>
      <w:r>
        <w:rPr>
          <w:rFonts w:cs="黑体" w:hint="eastAsia"/>
          <w:b/>
          <w:bCs/>
          <w:sz w:val="21"/>
          <w:szCs w:val="21"/>
        </w:rPr>
        <w:t>工业企业噪声卫生标准</w:t>
      </w:r>
    </w:p>
    <w:tbl>
      <w:tblPr>
        <w:tblW w:w="8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56"/>
        <w:gridCol w:w="1071"/>
        <w:gridCol w:w="1071"/>
        <w:gridCol w:w="1261"/>
        <w:gridCol w:w="1261"/>
      </w:tblGrid>
      <w:tr w:rsidR="005E49F7">
        <w:tc>
          <w:tcPr>
            <w:tcW w:w="4056" w:type="dxa"/>
            <w:vAlign w:val="center"/>
          </w:tcPr>
          <w:p w:rsidR="005E49F7" w:rsidRDefault="005E49F7">
            <w:pPr>
              <w:pStyle w:val="af2"/>
            </w:pPr>
            <w:r>
              <w:rPr>
                <w:rFonts w:cs="宋体" w:hint="eastAsia"/>
              </w:rPr>
              <w:t>每个工作日接触噪声时间（小时）</w:t>
            </w:r>
          </w:p>
        </w:tc>
        <w:tc>
          <w:tcPr>
            <w:tcW w:w="1071" w:type="dxa"/>
            <w:vAlign w:val="center"/>
          </w:tcPr>
          <w:p w:rsidR="005E49F7" w:rsidRDefault="005E49F7">
            <w:pPr>
              <w:pStyle w:val="af2"/>
            </w:pPr>
            <w:r>
              <w:t>8</w:t>
            </w:r>
          </w:p>
        </w:tc>
        <w:tc>
          <w:tcPr>
            <w:tcW w:w="1071" w:type="dxa"/>
            <w:vAlign w:val="center"/>
          </w:tcPr>
          <w:p w:rsidR="005E49F7" w:rsidRDefault="005E49F7">
            <w:pPr>
              <w:pStyle w:val="af2"/>
            </w:pPr>
            <w:r>
              <w:t>4</w:t>
            </w:r>
          </w:p>
        </w:tc>
        <w:tc>
          <w:tcPr>
            <w:tcW w:w="1261" w:type="dxa"/>
            <w:vAlign w:val="center"/>
          </w:tcPr>
          <w:p w:rsidR="005E49F7" w:rsidRDefault="005E49F7">
            <w:pPr>
              <w:pStyle w:val="af2"/>
            </w:pPr>
            <w:r>
              <w:t>2</w:t>
            </w:r>
          </w:p>
        </w:tc>
        <w:tc>
          <w:tcPr>
            <w:tcW w:w="1261" w:type="dxa"/>
            <w:vAlign w:val="center"/>
          </w:tcPr>
          <w:p w:rsidR="005E49F7" w:rsidRDefault="005E49F7">
            <w:pPr>
              <w:pStyle w:val="af2"/>
            </w:pPr>
            <w:r>
              <w:t>1</w:t>
            </w:r>
          </w:p>
        </w:tc>
      </w:tr>
      <w:tr w:rsidR="005E49F7">
        <w:tc>
          <w:tcPr>
            <w:tcW w:w="4056" w:type="dxa"/>
            <w:vAlign w:val="center"/>
          </w:tcPr>
          <w:p w:rsidR="005E49F7" w:rsidRDefault="005E49F7">
            <w:pPr>
              <w:pStyle w:val="af2"/>
            </w:pPr>
            <w:r>
              <w:rPr>
                <w:rFonts w:cs="宋体" w:hint="eastAsia"/>
              </w:rPr>
              <w:t>允许噪声值（</w:t>
            </w:r>
            <w:r>
              <w:t>d B(A)</w:t>
            </w:r>
            <w:r>
              <w:rPr>
                <w:rFonts w:cs="宋体" w:hint="eastAsia"/>
              </w:rPr>
              <w:t>）</w:t>
            </w:r>
          </w:p>
        </w:tc>
        <w:tc>
          <w:tcPr>
            <w:tcW w:w="1071" w:type="dxa"/>
            <w:vAlign w:val="center"/>
          </w:tcPr>
          <w:p w:rsidR="005E49F7" w:rsidRDefault="005E49F7">
            <w:pPr>
              <w:pStyle w:val="af2"/>
            </w:pPr>
            <w:r>
              <w:t>48</w:t>
            </w:r>
          </w:p>
        </w:tc>
        <w:tc>
          <w:tcPr>
            <w:tcW w:w="1071" w:type="dxa"/>
            <w:vAlign w:val="center"/>
          </w:tcPr>
          <w:p w:rsidR="005E49F7" w:rsidRDefault="005E49F7">
            <w:pPr>
              <w:pStyle w:val="af2"/>
            </w:pPr>
            <w:r>
              <w:t>88</w:t>
            </w:r>
          </w:p>
        </w:tc>
        <w:tc>
          <w:tcPr>
            <w:tcW w:w="1261" w:type="dxa"/>
            <w:vAlign w:val="center"/>
          </w:tcPr>
          <w:p w:rsidR="005E49F7" w:rsidRDefault="005E49F7">
            <w:pPr>
              <w:pStyle w:val="af2"/>
            </w:pPr>
            <w:r>
              <w:t>91</w:t>
            </w:r>
          </w:p>
        </w:tc>
        <w:tc>
          <w:tcPr>
            <w:tcW w:w="1261" w:type="dxa"/>
            <w:vAlign w:val="center"/>
          </w:tcPr>
          <w:p w:rsidR="005E49F7" w:rsidRDefault="005E49F7">
            <w:pPr>
              <w:pStyle w:val="af2"/>
            </w:pPr>
            <w:r>
              <w:t>94</w:t>
            </w:r>
          </w:p>
        </w:tc>
      </w:tr>
    </w:tbl>
    <w:p w:rsidR="005E49F7" w:rsidRDefault="005E49F7">
      <w:pPr>
        <w:spacing w:line="360" w:lineRule="auto"/>
        <w:jc w:val="left"/>
        <w:outlineLvl w:val="0"/>
        <w:rPr>
          <w:rFonts w:ascii="宋体"/>
          <w:b/>
          <w:bCs/>
          <w:sz w:val="28"/>
          <w:szCs w:val="28"/>
        </w:rPr>
      </w:pPr>
    </w:p>
    <w:p w:rsidR="005E49F7" w:rsidRDefault="005E49F7" w:rsidP="00D23914">
      <w:pPr>
        <w:pStyle w:val="11"/>
        <w:ind w:firstLine="31680"/>
      </w:pPr>
      <w:r>
        <w:rPr>
          <w:rFonts w:cs="宋体" w:hint="eastAsia"/>
        </w:rPr>
        <w:t>根据预测结果，港口噪声到港界外约</w:t>
      </w:r>
      <w:r>
        <w:t>100m</w:t>
      </w:r>
      <w:r>
        <w:rPr>
          <w:rFonts w:cs="宋体" w:hint="eastAsia"/>
        </w:rPr>
        <w:t>左右范围基本达到《声环境质量标准》（</w:t>
      </w:r>
      <w:r>
        <w:t>GB 3096-2008</w:t>
      </w:r>
      <w:r>
        <w:rPr>
          <w:rFonts w:cs="宋体" w:hint="eastAsia"/>
        </w:rPr>
        <w:t>）</w:t>
      </w:r>
      <w:r>
        <w:t>2</w:t>
      </w:r>
      <w:r>
        <w:rPr>
          <w:rFonts w:cs="宋体" w:hint="eastAsia"/>
        </w:rPr>
        <w:t>类声功能区标准，约</w:t>
      </w:r>
      <w:r>
        <w:t>200m</w:t>
      </w:r>
      <w:r>
        <w:rPr>
          <w:rFonts w:cs="宋体" w:hint="eastAsia"/>
        </w:rPr>
        <w:t>左右范围可达到《声环境质量标准》（</w:t>
      </w:r>
      <w:r>
        <w:t>GB 3096-2008</w:t>
      </w:r>
      <w:r>
        <w:rPr>
          <w:rFonts w:cs="宋体" w:hint="eastAsia"/>
        </w:rPr>
        <w:t>）</w:t>
      </w:r>
      <w:r>
        <w:t>1</w:t>
      </w:r>
      <w:r>
        <w:rPr>
          <w:rFonts w:cs="宋体" w:hint="eastAsia"/>
        </w:rPr>
        <w:t>类声功能区标准，建议新建设施应尽量布设在港界</w:t>
      </w:r>
      <w:r>
        <w:t>100m</w:t>
      </w:r>
      <w:r>
        <w:rPr>
          <w:rFonts w:cs="宋体" w:hint="eastAsia"/>
        </w:rPr>
        <w:t>之外，新建医院、机关、学校、科研单位及住宅等设施尽量设在港界</w:t>
      </w:r>
      <w:r>
        <w:t>200m</w:t>
      </w:r>
      <w:r>
        <w:rPr>
          <w:rFonts w:cs="宋体" w:hint="eastAsia"/>
        </w:rPr>
        <w:t>范围以外，以降低对港界外设施的噪声影响。若难以避开，需采取工程措施进行防护。</w:t>
      </w:r>
    </w:p>
    <w:p w:rsidR="005E49F7" w:rsidRDefault="005E49F7" w:rsidP="00D23914">
      <w:pPr>
        <w:pStyle w:val="11"/>
        <w:ind w:firstLine="31680"/>
      </w:pPr>
      <w:r>
        <w:rPr>
          <w:rFonts w:cs="宋体" w:hint="eastAsia"/>
        </w:rPr>
        <w:t>对于交通噪声，如果在主要道路两侧建设</w:t>
      </w:r>
      <w:r>
        <w:t>10-40</w:t>
      </w:r>
      <w:r>
        <w:rPr>
          <w:rFonts w:cs="宋体" w:hint="eastAsia"/>
        </w:rPr>
        <w:t>米宽的立体防护绿化带，这样就可降低交通噪声</w:t>
      </w:r>
      <w:r>
        <w:t>5-10dB(A)</w:t>
      </w:r>
      <w:r>
        <w:rPr>
          <w:rFonts w:cs="宋体" w:hint="eastAsia"/>
        </w:rPr>
        <w:t>。如噪声降低</w:t>
      </w:r>
      <w:r>
        <w:t>10dB(A)</w:t>
      </w:r>
      <w:r>
        <w:rPr>
          <w:rFonts w:cs="宋体" w:hint="eastAsia"/>
        </w:rPr>
        <w:t>，则昼、夜间所有道路两侧</w:t>
      </w:r>
      <w:r>
        <w:t>40</w:t>
      </w:r>
      <w:r>
        <w:rPr>
          <w:rFonts w:cs="宋体" w:hint="eastAsia"/>
        </w:rPr>
        <w:t>米外声环境质量将全部达标。建议在道路及岸线两侧均将实行绿化工程。</w:t>
      </w:r>
    </w:p>
    <w:p w:rsidR="005E49F7" w:rsidRDefault="005E49F7" w:rsidP="00D23914">
      <w:pPr>
        <w:pStyle w:val="11"/>
        <w:ind w:firstLine="31680"/>
      </w:pPr>
      <w:r>
        <w:rPr>
          <w:rFonts w:cs="宋体" w:hint="eastAsia"/>
        </w:rPr>
        <w:t>从预测以及噪声特点分析结果来看，港区本身营运的噪声影响一般控制在港界</w:t>
      </w:r>
      <w:r>
        <w:t>200m</w:t>
      </w:r>
      <w:r>
        <w:rPr>
          <w:rFonts w:cs="宋体" w:hint="eastAsia"/>
        </w:rPr>
        <w:t>范围以内。</w:t>
      </w:r>
    </w:p>
    <w:p w:rsidR="005E49F7" w:rsidRDefault="005E49F7" w:rsidP="00D23914">
      <w:pPr>
        <w:spacing w:line="360" w:lineRule="auto"/>
        <w:ind w:firstLineChars="200" w:firstLine="31680"/>
        <w:jc w:val="left"/>
        <w:outlineLvl w:val="0"/>
      </w:pPr>
      <w:bookmarkStart w:id="32" w:name="_Toc103"/>
      <w:r>
        <w:t>B</w:t>
      </w:r>
      <w:r>
        <w:rPr>
          <w:rFonts w:cs="宋体" w:hint="eastAsia"/>
        </w:rPr>
        <w:t>、集疏运通道噪声影响评价分析</w:t>
      </w:r>
      <w:bookmarkEnd w:id="32"/>
    </w:p>
    <w:p w:rsidR="005E49F7" w:rsidRDefault="005E49F7" w:rsidP="00D23914">
      <w:pPr>
        <w:spacing w:line="360" w:lineRule="auto"/>
        <w:ind w:firstLineChars="200" w:firstLine="31680"/>
        <w:jc w:val="left"/>
        <w:outlineLvl w:val="0"/>
        <w:rPr>
          <w:rFonts w:ascii="宋体"/>
          <w:b/>
          <w:bCs/>
          <w:sz w:val="28"/>
          <w:szCs w:val="28"/>
        </w:rPr>
      </w:pPr>
      <w:bookmarkStart w:id="33" w:name="_Toc17363"/>
      <w:r>
        <w:rPr>
          <w:rFonts w:cs="宋体" w:hint="eastAsia"/>
        </w:rPr>
        <w:t>集疏港公路交通噪声执行《声环境质量标准》（</w:t>
      </w:r>
      <w:r>
        <w:t>GB3096-2008</w:t>
      </w:r>
      <w:r>
        <w:rPr>
          <w:rFonts w:cs="宋体" w:hint="eastAsia"/>
        </w:rPr>
        <w:t>）中</w:t>
      </w:r>
      <w:r>
        <w:t>4a</w:t>
      </w:r>
      <w:r>
        <w:rPr>
          <w:rFonts w:cs="宋体" w:hint="eastAsia"/>
        </w:rPr>
        <w:t>类标准，即对疏港公路两侧区域执行昼间低于</w:t>
      </w:r>
      <w:r>
        <w:t>70dB(A)</w:t>
      </w:r>
      <w:r>
        <w:rPr>
          <w:rFonts w:cs="宋体" w:hint="eastAsia"/>
        </w:rPr>
        <w:t>，夜间低于</w:t>
      </w:r>
      <w:r>
        <w:t>55dB(A)</w:t>
      </w:r>
      <w:r>
        <w:rPr>
          <w:rFonts w:cs="宋体" w:hint="eastAsia"/>
        </w:rPr>
        <w:t>的规定。根据表</w:t>
      </w:r>
      <w:r>
        <w:t>6.4-7</w:t>
      </w:r>
      <w:r>
        <w:rPr>
          <w:rFonts w:cs="宋体" w:hint="eastAsia"/>
        </w:rPr>
        <w:t>的计算结果，在忽略屏障、坡度等衰减的前提下，</w:t>
      </w:r>
      <w:r>
        <w:t>2020</w:t>
      </w:r>
      <w:r>
        <w:rPr>
          <w:rFonts w:cs="宋体" w:hint="eastAsia"/>
        </w:rPr>
        <w:t>年、</w:t>
      </w:r>
      <w:r>
        <w:t>2030</w:t>
      </w:r>
      <w:r>
        <w:rPr>
          <w:rFonts w:cs="宋体" w:hint="eastAsia"/>
        </w:rPr>
        <w:t>年昼间各主要港区疏港公路两侧在</w:t>
      </w:r>
      <w:r>
        <w:t>15m</w:t>
      </w:r>
      <w:r>
        <w:rPr>
          <w:rFonts w:cs="宋体" w:hint="eastAsia"/>
        </w:rPr>
        <w:t>以外均能够达到声环境质量标准要求；夜间梅州港区、大浦港区在疏港公路两侧</w:t>
      </w:r>
      <w:r>
        <w:t>25m</w:t>
      </w:r>
      <w:r>
        <w:rPr>
          <w:rFonts w:cs="宋体" w:hint="eastAsia"/>
        </w:rPr>
        <w:t>以外才可以满足声环境质量标准要求。建议各港区在后续详细规划建设方案中确保港区疏港公路与区民区保持</w:t>
      </w:r>
      <w:r>
        <w:t>25m</w:t>
      </w:r>
      <w:r>
        <w:rPr>
          <w:rFonts w:cs="宋体" w:hint="eastAsia"/>
        </w:rPr>
        <w:t>以上的控制距离，确保疏港车辆对附近区域声环境敏感目标不产生明显影响。此外夜间疏港车辆在经过镇区时将车速控制在</w:t>
      </w:r>
      <w:r>
        <w:t>40km/h</w:t>
      </w:r>
      <w:r>
        <w:rPr>
          <w:rFonts w:cs="宋体" w:hint="eastAsia"/>
        </w:rPr>
        <w:t>以下，并在疏港公路两侧增加</w:t>
      </w:r>
      <w:r>
        <w:t>4~6m</w:t>
      </w:r>
      <w:r>
        <w:rPr>
          <w:rFonts w:cs="宋体" w:hint="eastAsia"/>
        </w:rPr>
        <w:t>宽度的绿化隔离带。</w:t>
      </w:r>
      <w:bookmarkEnd w:id="33"/>
    </w:p>
    <w:p w:rsidR="005E49F7" w:rsidRDefault="005E49F7">
      <w:pPr>
        <w:spacing w:line="360" w:lineRule="auto"/>
        <w:jc w:val="left"/>
        <w:outlineLvl w:val="2"/>
        <w:rPr>
          <w:rFonts w:ascii="宋体"/>
          <w:b/>
          <w:bCs/>
        </w:rPr>
      </w:pPr>
      <w:r>
        <w:rPr>
          <w:rFonts w:ascii="宋体" w:hAnsi="宋体" w:cs="宋体"/>
          <w:b/>
          <w:bCs/>
        </w:rPr>
        <w:t>3.1.3</w:t>
      </w:r>
      <w:r>
        <w:rPr>
          <w:rFonts w:ascii="宋体" w:hAnsi="宋体" w:cs="宋体" w:hint="eastAsia"/>
          <w:b/>
          <w:bCs/>
        </w:rPr>
        <w:t>大气环境影响预测</w:t>
      </w:r>
    </w:p>
    <w:p w:rsidR="005E49F7" w:rsidRDefault="005E49F7" w:rsidP="00D23914">
      <w:pPr>
        <w:numPr>
          <w:ilvl w:val="0"/>
          <w:numId w:val="14"/>
        </w:numPr>
        <w:spacing w:line="360" w:lineRule="auto"/>
        <w:ind w:leftChars="200" w:left="31680" w:firstLineChars="200" w:firstLine="31680"/>
        <w:jc w:val="left"/>
        <w:outlineLvl w:val="0"/>
        <w:rPr>
          <w:rFonts w:ascii="宋体"/>
        </w:rPr>
      </w:pPr>
      <w:bookmarkStart w:id="34" w:name="_Toc29275"/>
      <w:r>
        <w:rPr>
          <w:rFonts w:ascii="宋体" w:hAnsi="宋体" w:cs="宋体" w:hint="eastAsia"/>
        </w:rPr>
        <w:t>建设期</w:t>
      </w:r>
      <w:bookmarkEnd w:id="34"/>
    </w:p>
    <w:p w:rsidR="005E49F7" w:rsidRDefault="005E49F7" w:rsidP="00D23914">
      <w:pPr>
        <w:spacing w:line="360" w:lineRule="auto"/>
        <w:ind w:firstLineChars="200" w:firstLine="31680"/>
        <w:jc w:val="left"/>
        <w:outlineLvl w:val="0"/>
      </w:pPr>
      <w:bookmarkStart w:id="35" w:name="_Toc12043"/>
      <w:r>
        <w:rPr>
          <w:rFonts w:cs="宋体" w:hint="eastAsia"/>
        </w:rPr>
        <w:t>施工期大气污染源有吸泥船、各类施工机械及运输车辆产生的燃油废气；施工开挖及运输车辆、施工机械行走道路带来的扬尘；施工建筑材料（水泥、石灰、砂石料）在装卸、运输、堆砌等过程造成扬起和洒落。其中施工机械及车辆排放的废气主要由其所采用的燃料及设备决定，如果采用清洁型燃料，在车辆及机械设备排气口加装废气过滤器，同时保持车辆及有关设备化油器、空气滤清器等部位的清洁，废气污染的影响基本上可以接受；施工扬尘源一般高度较低，粉尘颗粒较大，属于瞬时源，污染扩散的距离不远，危害时间较短，根据类比分析，其影响主要在施工场地附近</w:t>
      </w:r>
      <w:r>
        <w:t>100m</w:t>
      </w:r>
      <w:r>
        <w:rPr>
          <w:rFonts w:cs="宋体" w:hint="eastAsia"/>
        </w:rPr>
        <w:t>范围内。运输过程中的扬尘属于流动性、间歇性大气污染源，一般来说此类污染源的排放量较小，影响范围不大。</w:t>
      </w:r>
      <w:bookmarkEnd w:id="35"/>
    </w:p>
    <w:p w:rsidR="005E49F7" w:rsidRDefault="005E49F7" w:rsidP="00D23914">
      <w:pPr>
        <w:numPr>
          <w:ilvl w:val="0"/>
          <w:numId w:val="14"/>
        </w:numPr>
        <w:spacing w:line="360" w:lineRule="auto"/>
        <w:ind w:leftChars="200" w:left="31680" w:firstLineChars="200" w:firstLine="31680"/>
        <w:jc w:val="left"/>
        <w:outlineLvl w:val="0"/>
      </w:pPr>
      <w:bookmarkStart w:id="36" w:name="_Toc18449"/>
      <w:r>
        <w:rPr>
          <w:rFonts w:cs="宋体" w:hint="eastAsia"/>
        </w:rPr>
        <w:t>运营期</w:t>
      </w:r>
      <w:bookmarkEnd w:id="36"/>
    </w:p>
    <w:p w:rsidR="005E49F7" w:rsidRDefault="005E49F7" w:rsidP="00D23914">
      <w:pPr>
        <w:pStyle w:val="11"/>
        <w:ind w:firstLine="31680"/>
      </w:pPr>
      <w:r>
        <w:rPr>
          <w:rFonts w:cs="宋体" w:hint="eastAsia"/>
        </w:rPr>
        <w:t>规划实施的运营期大气污染物主要为到港船舶的燃油废气和煤炭、矿石等装卸、堆放扬尘和运输车辆尾气等。运输车辆及装卸机械带来的燃油尾气属于无组织排放，难以进行针对性治理，二氧化氮等污染物主要是通过自然环境稀释扩散。运输车辆及装卸机械个体均为低架流动点源，因废气排放高度低，污染物不似高架源经热力抬升及风力疏散可至下风向较远处，因此，运输车辆及装卸机械燃油尾气可能造成的不良影响主要集中在场址内及其近区。本次评价主要以港区的煤炭、矿石等装卸、堆放扬尘作为预测因子，估算其污染物排放总量，并利用模式计算在长期气象条件下污染物扩散的态势。</w:t>
      </w:r>
    </w:p>
    <w:p w:rsidR="005E49F7" w:rsidRDefault="005E49F7" w:rsidP="00D23914">
      <w:pPr>
        <w:pStyle w:val="11"/>
        <w:ind w:firstLine="31680"/>
      </w:pPr>
      <w:r>
        <w:rPr>
          <w:rFonts w:cs="宋体" w:hint="eastAsia"/>
        </w:rPr>
        <w:t>根据估算模式</w:t>
      </w:r>
      <w:r>
        <w:t>SCREEN3</w:t>
      </w:r>
      <w:r>
        <w:rPr>
          <w:rFonts w:cs="宋体" w:hint="eastAsia"/>
        </w:rPr>
        <w:t>的保守估算结果，当港区运营过程中对粉尘的综合除尘率为</w:t>
      </w:r>
      <w:r>
        <w:t>80%</w:t>
      </w:r>
      <w:r>
        <w:rPr>
          <w:rFonts w:cs="宋体" w:hint="eastAsia"/>
        </w:rPr>
        <w:t>时，规划水平年内各个作业区产生的可吸入颗粒物</w:t>
      </w:r>
      <w:r>
        <w:t>PM</w:t>
      </w:r>
      <w:r>
        <w:rPr>
          <w:vertAlign w:val="subscript"/>
        </w:rPr>
        <w:t>10</w:t>
      </w:r>
      <w:r>
        <w:rPr>
          <w:rFonts w:cs="宋体" w:hint="eastAsia"/>
        </w:rPr>
        <w:t>最大落地浓度占标率范围介于</w:t>
      </w:r>
      <w:r>
        <w:t>13.57</w:t>
      </w:r>
      <w:r>
        <w:rPr>
          <w:rFonts w:cs="宋体" w:hint="eastAsia"/>
        </w:rPr>
        <w:t>～</w:t>
      </w:r>
      <w:r>
        <w:t>91.3%</w:t>
      </w:r>
      <w:r>
        <w:rPr>
          <w:rFonts w:cs="宋体" w:hint="eastAsia"/>
        </w:rPr>
        <w:t>之间，其中梅州港区在</w:t>
      </w:r>
      <w:r>
        <w:t>2030</w:t>
      </w:r>
      <w:r>
        <w:rPr>
          <w:rFonts w:cs="宋体" w:hint="eastAsia"/>
        </w:rPr>
        <w:t>年的可吸入颗粒物</w:t>
      </w:r>
      <w:r>
        <w:t>PM</w:t>
      </w:r>
      <w:r>
        <w:rPr>
          <w:vertAlign w:val="subscript"/>
        </w:rPr>
        <w:t>10</w:t>
      </w:r>
      <w:r>
        <w:rPr>
          <w:rFonts w:cs="宋体" w:hint="eastAsia"/>
        </w:rPr>
        <w:t>的最大落地浓度占标率最高，达到</w:t>
      </w:r>
      <w:r>
        <w:t>91.3%</w:t>
      </w:r>
      <w:r>
        <w:rPr>
          <w:rFonts w:cs="宋体" w:hint="eastAsia"/>
        </w:rPr>
        <w:t>。</w:t>
      </w:r>
    </w:p>
    <w:p w:rsidR="005E49F7" w:rsidRDefault="005E49F7" w:rsidP="00D23914">
      <w:pPr>
        <w:pStyle w:val="11"/>
        <w:ind w:firstLine="31680"/>
      </w:pPr>
      <w:r>
        <w:rPr>
          <w:rFonts w:cs="宋体" w:hint="eastAsia"/>
        </w:rPr>
        <w:t>当梅州港各个港区运营过程中对粉尘的综合除尘率为</w:t>
      </w:r>
      <w:r>
        <w:t>90%</w:t>
      </w:r>
      <w:r>
        <w:rPr>
          <w:rFonts w:cs="宋体" w:hint="eastAsia"/>
        </w:rPr>
        <w:t>时，规划水平年的各个作业区产生的可吸入颗粒物</w:t>
      </w:r>
      <w:r>
        <w:t>PM</w:t>
      </w:r>
      <w:r>
        <w:rPr>
          <w:vertAlign w:val="subscript"/>
        </w:rPr>
        <w:t>10</w:t>
      </w:r>
      <w:r>
        <w:rPr>
          <w:rFonts w:cs="宋体" w:hint="eastAsia"/>
        </w:rPr>
        <w:t>最大落地浓度占标率范围介于</w:t>
      </w:r>
      <w:r>
        <w:t>27.16</w:t>
      </w:r>
      <w:r>
        <w:rPr>
          <w:rFonts w:cs="宋体" w:hint="eastAsia"/>
        </w:rPr>
        <w:t>～</w:t>
      </w:r>
      <w:r>
        <w:t>91.3%</w:t>
      </w:r>
      <w:r>
        <w:rPr>
          <w:rFonts w:cs="宋体" w:hint="eastAsia"/>
        </w:rPr>
        <w:t>之间，大多数预测值高于</w:t>
      </w:r>
      <w:r>
        <w:t>10%</w:t>
      </w:r>
      <w:r>
        <w:rPr>
          <w:rFonts w:cs="宋体" w:hint="eastAsia"/>
        </w:rPr>
        <w:t>，可见，加强港区作业区环境管理水平，提高粉尘除尘效率可在一定程度上减少运营过程中的可吸入颗粒物等粉尘污染物对环境的影响。另外，港口规划实施将增加用电负荷，进而间接增加区域内电厂的大气污染排放。</w:t>
      </w:r>
    </w:p>
    <w:p w:rsidR="005E49F7" w:rsidRDefault="005E49F7" w:rsidP="00D23914">
      <w:pPr>
        <w:pStyle w:val="11"/>
        <w:ind w:firstLine="31680"/>
      </w:pPr>
      <w:r>
        <w:rPr>
          <w:rFonts w:cs="宋体" w:hint="eastAsia"/>
        </w:rPr>
        <w:t>此外，《梅州港总体规划》对现有旅游码头进行保留和改造，交通码头产生大气污染源强以船舶废气为主，对码头前沿和后方陆域港区造成一定影响，对周边居民区的影响范围和程度会明显减弱。由于这些旅游交通均分布于大气功能一类区或饮用水源二级保护区内，日后的码头建设和运营中须按照《中华人民共和国大气污染防治法》相关规定，在国务院和省、自治区、直辖市人民政府划定的风景名胜区、自然保护区、文物保护单位附近地区和其他需要特别保护的区域内，不得建设污染环境的工业生产设施；建设其他设施，其污染物排放不得超过规定的排放标准；对于其中涉及的客运码头，禁止新建、扩建、改建使用煤、重油的茶水炉、炊事灶、炉窑，如应旅游区需求需要配置锅炉的，建议使用或更新单机容量</w:t>
      </w:r>
      <w:r>
        <w:t>7</w:t>
      </w:r>
      <w:r>
        <w:rPr>
          <w:rFonts w:cs="宋体" w:hint="eastAsia"/>
        </w:rPr>
        <w:t>兆瓦（含</w:t>
      </w:r>
      <w:r>
        <w:t>7</w:t>
      </w:r>
      <w:r>
        <w:rPr>
          <w:rFonts w:cs="宋体" w:hint="eastAsia"/>
        </w:rPr>
        <w:t>兆瓦）以上燃用煤炭的锅炉，且必须采取高效除尘等防治措施。总之，应加强对船舶废气的防治及其监督管理，大力提倡游船使用优质油品，游艇岸线和码头优先采用清洁能源，则可显著减少大气污染物的排放总量，降低旅游交通码头在运营中对沿湖沿江空气质量的影响。</w:t>
      </w:r>
    </w:p>
    <w:p w:rsidR="005E49F7" w:rsidRDefault="005E49F7" w:rsidP="00D23914">
      <w:pPr>
        <w:pStyle w:val="11"/>
        <w:ind w:firstLine="31680"/>
      </w:pPr>
      <w:r>
        <w:rPr>
          <w:rFonts w:cs="宋体" w:hint="eastAsia"/>
        </w:rPr>
        <w:t>类比调查显示，在不考虑船舶废气的情况下，港口规划实施后港区环境空气污染一般集中在港区内部，对周边居民的影响较小。港区规划实施后粉尘污染排放量占沿江污染排放总量的比例较高，随着时间跨度的增长和港口建设的不断规范，其贡献比例还呈明显的下降趋势。</w:t>
      </w:r>
    </w:p>
    <w:p w:rsidR="005E49F7" w:rsidRDefault="005E49F7">
      <w:pPr>
        <w:spacing w:line="360" w:lineRule="auto"/>
        <w:jc w:val="left"/>
        <w:outlineLvl w:val="2"/>
        <w:rPr>
          <w:rFonts w:ascii="宋体"/>
          <w:b/>
          <w:bCs/>
        </w:rPr>
      </w:pPr>
      <w:r>
        <w:rPr>
          <w:rFonts w:ascii="宋体" w:hAnsi="宋体" w:cs="宋体"/>
          <w:b/>
          <w:bCs/>
        </w:rPr>
        <w:t>3.1.4</w:t>
      </w:r>
      <w:r>
        <w:rPr>
          <w:rFonts w:ascii="宋体" w:hAnsi="宋体" w:cs="宋体" w:hint="eastAsia"/>
          <w:b/>
          <w:bCs/>
        </w:rPr>
        <w:t>固体废弃物影响预测</w:t>
      </w:r>
    </w:p>
    <w:p w:rsidR="005E49F7" w:rsidRDefault="005E49F7" w:rsidP="00D23914">
      <w:pPr>
        <w:pStyle w:val="11"/>
        <w:ind w:firstLine="31680"/>
      </w:pPr>
      <w:r>
        <w:rPr>
          <w:rFonts w:cs="宋体" w:hint="eastAsia"/>
        </w:rPr>
        <w:t>固体废弃物是指人们在开发建设、生产经营和日常生活中向环境排放的固体垃圾，港口固体废弃物主要可分为三部分：</w:t>
      </w:r>
    </w:p>
    <w:p w:rsidR="005E49F7" w:rsidRDefault="005E49F7" w:rsidP="00D23914">
      <w:pPr>
        <w:pStyle w:val="11"/>
        <w:ind w:firstLine="31680"/>
      </w:pPr>
      <w:r>
        <w:t>1</w:t>
      </w:r>
      <w:r>
        <w:rPr>
          <w:rFonts w:cs="宋体" w:hint="eastAsia"/>
        </w:rPr>
        <w:t>、港区生活垃圾</w:t>
      </w:r>
    </w:p>
    <w:p w:rsidR="005E49F7" w:rsidRDefault="005E49F7" w:rsidP="00D23914">
      <w:pPr>
        <w:pStyle w:val="11"/>
        <w:ind w:firstLine="31680"/>
      </w:pPr>
      <w:r>
        <w:rPr>
          <w:rFonts w:cs="宋体" w:hint="eastAsia"/>
        </w:rPr>
        <w:t>根据规划，预测梅州港</w:t>
      </w:r>
      <w:r>
        <w:t>2020</w:t>
      </w:r>
      <w:r>
        <w:rPr>
          <w:rFonts w:cs="宋体" w:hint="eastAsia"/>
        </w:rPr>
        <w:t>年、</w:t>
      </w:r>
      <w:r>
        <w:t>2030</w:t>
      </w:r>
      <w:r>
        <w:rPr>
          <w:rFonts w:cs="宋体" w:hint="eastAsia"/>
        </w:rPr>
        <w:t>年港区生活垃圾产生量分别为</w:t>
      </w:r>
      <w:r>
        <w:t xml:space="preserve">210.64 </w:t>
      </w:r>
      <w:r>
        <w:rPr>
          <w:rFonts w:cs="宋体" w:hint="eastAsia"/>
        </w:rPr>
        <w:t>吨、</w:t>
      </w:r>
      <w:r>
        <w:t>299.01</w:t>
      </w:r>
      <w:r>
        <w:rPr>
          <w:rFonts w:cs="宋体" w:hint="eastAsia"/>
        </w:rPr>
        <w:t>吨；梅州港区生活垃圾的处理应当执行《一般工业固体废弃物贮存、处置场污染控制标准》（</w:t>
      </w:r>
      <w:r>
        <w:t>GB18599-2001</w:t>
      </w:r>
      <w:r>
        <w:rPr>
          <w:rFonts w:cs="宋体" w:hint="eastAsia"/>
        </w:rPr>
        <w:t>），港区生活垃圾经垃圾中转站临时收集后，由垃圾车集中送至市政垃圾处理场处理。根据本次规划方案，所有港区的全部作业区均应按照相关环卫管理规定进行垃圾处理，并实现垃圾的分类回收。另外，应对客运码头应进行不定期检查，防止游人过多产生的垃圾污染水体。</w:t>
      </w:r>
    </w:p>
    <w:p w:rsidR="005E49F7" w:rsidRDefault="005E49F7" w:rsidP="00D23914">
      <w:pPr>
        <w:pStyle w:val="11"/>
        <w:ind w:firstLine="31680"/>
      </w:pPr>
      <w:r>
        <w:t>2</w:t>
      </w:r>
      <w:r>
        <w:rPr>
          <w:rFonts w:cs="宋体" w:hint="eastAsia"/>
        </w:rPr>
        <w:t>、船舶生活垃圾</w:t>
      </w:r>
    </w:p>
    <w:p w:rsidR="005E49F7" w:rsidRDefault="005E49F7" w:rsidP="00D23914">
      <w:pPr>
        <w:pStyle w:val="11"/>
        <w:ind w:firstLine="31680"/>
      </w:pPr>
      <w:r>
        <w:rPr>
          <w:rFonts w:cs="宋体" w:hint="eastAsia"/>
        </w:rPr>
        <w:t>根据规划，预测梅州港</w:t>
      </w:r>
      <w:r>
        <w:t>2020</w:t>
      </w:r>
      <w:r>
        <w:rPr>
          <w:rFonts w:cs="宋体" w:hint="eastAsia"/>
        </w:rPr>
        <w:t>年、</w:t>
      </w:r>
      <w:r>
        <w:t>2030</w:t>
      </w:r>
      <w:r>
        <w:rPr>
          <w:rFonts w:cs="宋体" w:hint="eastAsia"/>
        </w:rPr>
        <w:t>年港区船舶生活垃圾产生量分别为</w:t>
      </w:r>
      <w:r>
        <w:t>299.2</w:t>
      </w:r>
      <w:r>
        <w:rPr>
          <w:rFonts w:cs="宋体" w:hint="eastAsia"/>
        </w:rPr>
        <w:t>吨、</w:t>
      </w:r>
      <w:r>
        <w:t>560.9</w:t>
      </w:r>
      <w:r>
        <w:rPr>
          <w:rFonts w:cs="宋体" w:hint="eastAsia"/>
        </w:rPr>
        <w:t>吨；规划实施后梅州港吞吐量大幅度增加，到港船舶数量上升，这将导致船舶垃圾年生产量增加。未经处理的船舶垃圾一律不得在港区附近排入水体。此外，船舶垃圾常会有含油或者其他有害物质，尤其是来自疫区的船舶，应特别注意。建议对船舶垃圾按照生活垃圾、工业固体废物和危险废物分类收集，对危险废物应严格按照危险废物转移联单管理制度进行接收管理，并交由有资质的处理单位安全处置。</w:t>
      </w:r>
    </w:p>
    <w:p w:rsidR="005E49F7" w:rsidRDefault="005E49F7" w:rsidP="00D23914">
      <w:pPr>
        <w:pStyle w:val="11"/>
        <w:ind w:firstLine="31680"/>
      </w:pPr>
      <w:r>
        <w:rPr>
          <w:rFonts w:cs="宋体" w:hint="eastAsia"/>
        </w:rPr>
        <w:t>为防止船舶垃圾入河，各港区船舶垃圾应经港监部门检验后，采用塑料袋垃圾筒收集贮存，由港口接收设施接收，运送至垃圾处理厂处理。由于垃圾产生量在全市生活垃圾产生量中所占比例较小，规划的实施对梅州市垃圾处理的压力不大，但梅州市目前固体废弃物管理基础相对薄弱，废物无序收集和乱堆的现象时有发生。建议梅州市应提高固体废弃物处置设施能力，建设相应的垃圾处理设施，满足港口总体规划实施后固体废物的处理需求。另外，由于外贸船舶垃圾可能含有我国禁止携带入内的生物活体，要求各口岸设立船舶垃圾接收点，由地方海事局监管，对船舶的垃圾记录薄进行专项检查，建议对进出港的外贸船加强监管，外贸船舶垃圾进行先期灭活处理后，交由城市垃圾处理机构进行特殊处理。</w:t>
      </w:r>
    </w:p>
    <w:p w:rsidR="005E49F7" w:rsidRDefault="005E49F7" w:rsidP="00D23914">
      <w:pPr>
        <w:pStyle w:val="11"/>
        <w:ind w:firstLine="31680"/>
      </w:pPr>
      <w:r>
        <w:t>3</w:t>
      </w:r>
      <w:r>
        <w:rPr>
          <w:rFonts w:cs="宋体" w:hint="eastAsia"/>
        </w:rPr>
        <w:t>、港区产生的其他固体废物。</w:t>
      </w:r>
    </w:p>
    <w:p w:rsidR="005E49F7" w:rsidRDefault="005E49F7" w:rsidP="00D23914">
      <w:pPr>
        <w:pStyle w:val="11"/>
        <w:ind w:firstLine="31680"/>
      </w:pPr>
      <w:r>
        <w:rPr>
          <w:rFonts w:cs="宋体" w:hint="eastAsia"/>
        </w:rPr>
        <w:t>根据规划，预测梅州港</w:t>
      </w:r>
      <w:r>
        <w:t>2020</w:t>
      </w:r>
      <w:r>
        <w:rPr>
          <w:rFonts w:cs="宋体" w:hint="eastAsia"/>
        </w:rPr>
        <w:t>年、</w:t>
      </w:r>
      <w:r>
        <w:t>2030</w:t>
      </w:r>
      <w:r>
        <w:rPr>
          <w:rFonts w:cs="宋体" w:hint="eastAsia"/>
        </w:rPr>
        <w:t>年港区机修废物约</w:t>
      </w:r>
      <w:r>
        <w:t>11.84</w:t>
      </w:r>
      <w:r>
        <w:rPr>
          <w:rFonts w:cs="宋体" w:hint="eastAsia"/>
        </w:rPr>
        <w:t>吨、</w:t>
      </w:r>
      <w:r>
        <w:t>36.6</w:t>
      </w:r>
      <w:r>
        <w:rPr>
          <w:rFonts w:cs="宋体" w:hint="eastAsia"/>
        </w:rPr>
        <w:t>吨。这些固体废弃物大多数为一般工业固体废物，且多数能进行综合利用，基本上不会对环境产生影响，但机修废油、废手套以及港区污水处理厂的污泥等属于危险废物，因此，为了控制固体废弃物对环境的污染，则首先进行回收利用，不可回收部分且属于危险废物的部分应统一收集并送至危险废物处理站妥善处理。</w:t>
      </w:r>
    </w:p>
    <w:p w:rsidR="005E49F7" w:rsidRDefault="005E49F7">
      <w:pPr>
        <w:spacing w:line="360" w:lineRule="auto"/>
        <w:jc w:val="left"/>
        <w:outlineLvl w:val="1"/>
        <w:rPr>
          <w:rFonts w:ascii="宋体"/>
          <w:b/>
          <w:bCs/>
          <w:sz w:val="28"/>
          <w:szCs w:val="28"/>
        </w:rPr>
      </w:pPr>
      <w:bookmarkStart w:id="37" w:name="_Toc22513"/>
      <w:r>
        <w:rPr>
          <w:rFonts w:ascii="宋体" w:hAnsi="宋体" w:cs="宋体"/>
          <w:b/>
          <w:bCs/>
          <w:sz w:val="28"/>
          <w:szCs w:val="28"/>
        </w:rPr>
        <w:t>3.2</w:t>
      </w:r>
      <w:r>
        <w:rPr>
          <w:rFonts w:ascii="宋体" w:hAnsi="宋体" w:cs="宋体" w:hint="eastAsia"/>
          <w:b/>
          <w:bCs/>
          <w:sz w:val="28"/>
          <w:szCs w:val="28"/>
        </w:rPr>
        <w:t>环境保护目标</w:t>
      </w:r>
      <w:bookmarkEnd w:id="37"/>
    </w:p>
    <w:p w:rsidR="005E49F7" w:rsidRDefault="005E49F7" w:rsidP="00D23914">
      <w:pPr>
        <w:pStyle w:val="11"/>
        <w:ind w:firstLine="31680"/>
      </w:pPr>
      <w:r>
        <w:rPr>
          <w:rFonts w:cs="宋体" w:hint="eastAsia"/>
        </w:rPr>
        <w:t>通过对梅州市生态环境现状特点的调查与分析，港口规划环境影响的初步识别，以及梅州港规划特征性影响的初步判断，确定本规划环境影响评价的环境保护目标，具体见表</w:t>
      </w:r>
      <w:r>
        <w:t>3.2-1</w:t>
      </w:r>
      <w:r>
        <w:rPr>
          <w:rFonts w:cs="宋体" w:hint="eastAsia"/>
        </w:rPr>
        <w:t>：</w:t>
      </w:r>
    </w:p>
    <w:p w:rsidR="005E49F7" w:rsidRDefault="005E49F7">
      <w:pPr>
        <w:pStyle w:val="af1"/>
        <w:spacing w:beforeLines="0"/>
      </w:pPr>
      <w:r>
        <w:rPr>
          <w:rFonts w:cs="黑体" w:hint="eastAsia"/>
        </w:rPr>
        <w:t>表</w:t>
      </w:r>
      <w:r>
        <w:t xml:space="preserve">3.2-1  </w:t>
      </w:r>
      <w:r>
        <w:rPr>
          <w:rFonts w:cs="黑体" w:hint="eastAsia"/>
        </w:rPr>
        <w:t>规划环境保护目标</w:t>
      </w:r>
    </w:p>
    <w:tbl>
      <w:tblPr>
        <w:tblW w:w="8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72"/>
        <w:gridCol w:w="6748"/>
      </w:tblGrid>
      <w:tr w:rsidR="005E49F7">
        <w:tc>
          <w:tcPr>
            <w:tcW w:w="1972" w:type="dxa"/>
            <w:vAlign w:val="center"/>
          </w:tcPr>
          <w:p w:rsidR="005E49F7" w:rsidRDefault="005E49F7">
            <w:pPr>
              <w:pStyle w:val="20"/>
              <w:rPr>
                <w:kern w:val="2"/>
              </w:rPr>
            </w:pPr>
            <w:r>
              <w:rPr>
                <w:rFonts w:cs="宋体" w:hint="eastAsia"/>
                <w:kern w:val="2"/>
              </w:rPr>
              <w:t>影响因素</w:t>
            </w:r>
          </w:p>
        </w:tc>
        <w:tc>
          <w:tcPr>
            <w:tcW w:w="6748" w:type="dxa"/>
            <w:vAlign w:val="center"/>
          </w:tcPr>
          <w:p w:rsidR="005E49F7" w:rsidRDefault="005E49F7">
            <w:pPr>
              <w:pStyle w:val="20"/>
              <w:rPr>
                <w:kern w:val="2"/>
              </w:rPr>
            </w:pPr>
            <w:r>
              <w:rPr>
                <w:rFonts w:cs="宋体" w:hint="eastAsia"/>
                <w:kern w:val="2"/>
              </w:rPr>
              <w:t>环境目标</w:t>
            </w:r>
          </w:p>
        </w:tc>
      </w:tr>
      <w:tr w:rsidR="005E49F7">
        <w:tc>
          <w:tcPr>
            <w:tcW w:w="1972" w:type="dxa"/>
            <w:vAlign w:val="center"/>
          </w:tcPr>
          <w:p w:rsidR="005E49F7" w:rsidRDefault="005E49F7">
            <w:pPr>
              <w:pStyle w:val="20"/>
              <w:rPr>
                <w:kern w:val="2"/>
              </w:rPr>
            </w:pPr>
            <w:r>
              <w:rPr>
                <w:rFonts w:cs="宋体" w:hint="eastAsia"/>
                <w:kern w:val="2"/>
              </w:rPr>
              <w:t>水环境</w:t>
            </w:r>
          </w:p>
        </w:tc>
        <w:tc>
          <w:tcPr>
            <w:tcW w:w="6748" w:type="dxa"/>
            <w:vAlign w:val="center"/>
          </w:tcPr>
          <w:p w:rsidR="005E49F7" w:rsidRDefault="005E49F7">
            <w:pPr>
              <w:pStyle w:val="20"/>
              <w:rPr>
                <w:kern w:val="2"/>
              </w:rPr>
            </w:pPr>
            <w:r>
              <w:rPr>
                <w:rFonts w:cs="宋体" w:hint="eastAsia"/>
                <w:kern w:val="2"/>
              </w:rPr>
              <w:t>节约用水，有效利用水资源</w:t>
            </w:r>
          </w:p>
          <w:p w:rsidR="005E49F7" w:rsidRDefault="005E49F7">
            <w:pPr>
              <w:pStyle w:val="20"/>
              <w:rPr>
                <w:kern w:val="2"/>
              </w:rPr>
            </w:pPr>
            <w:r>
              <w:rPr>
                <w:rFonts w:cs="宋体" w:hint="eastAsia"/>
                <w:kern w:val="2"/>
              </w:rPr>
              <w:t>减少区域水污染物排放，水环境功能区达标</w:t>
            </w:r>
          </w:p>
        </w:tc>
      </w:tr>
      <w:tr w:rsidR="005E49F7">
        <w:tc>
          <w:tcPr>
            <w:tcW w:w="1972" w:type="dxa"/>
            <w:vAlign w:val="center"/>
          </w:tcPr>
          <w:p w:rsidR="005E49F7" w:rsidRDefault="005E49F7">
            <w:pPr>
              <w:pStyle w:val="20"/>
              <w:rPr>
                <w:kern w:val="2"/>
              </w:rPr>
            </w:pPr>
            <w:r>
              <w:rPr>
                <w:rFonts w:cs="宋体" w:hint="eastAsia"/>
                <w:kern w:val="2"/>
              </w:rPr>
              <w:t>空气环境</w:t>
            </w:r>
          </w:p>
        </w:tc>
        <w:tc>
          <w:tcPr>
            <w:tcW w:w="6748" w:type="dxa"/>
            <w:vAlign w:val="center"/>
          </w:tcPr>
          <w:p w:rsidR="005E49F7" w:rsidRDefault="005E49F7">
            <w:pPr>
              <w:pStyle w:val="20"/>
              <w:rPr>
                <w:kern w:val="2"/>
              </w:rPr>
            </w:pPr>
            <w:r>
              <w:rPr>
                <w:rFonts w:cs="宋体" w:hint="eastAsia"/>
                <w:kern w:val="2"/>
              </w:rPr>
              <w:t>减少区域空气污染物排放，大气环境功能区达标</w:t>
            </w:r>
          </w:p>
        </w:tc>
      </w:tr>
      <w:tr w:rsidR="005E49F7">
        <w:tc>
          <w:tcPr>
            <w:tcW w:w="1972" w:type="dxa"/>
            <w:vAlign w:val="center"/>
          </w:tcPr>
          <w:p w:rsidR="005E49F7" w:rsidRDefault="005E49F7">
            <w:pPr>
              <w:pStyle w:val="20"/>
              <w:rPr>
                <w:kern w:val="2"/>
              </w:rPr>
            </w:pPr>
            <w:r>
              <w:rPr>
                <w:rFonts w:cs="宋体" w:hint="eastAsia"/>
                <w:kern w:val="2"/>
              </w:rPr>
              <w:t>自然资源</w:t>
            </w:r>
          </w:p>
          <w:p w:rsidR="005E49F7" w:rsidRDefault="005E49F7">
            <w:pPr>
              <w:pStyle w:val="20"/>
              <w:rPr>
                <w:kern w:val="2"/>
              </w:rPr>
            </w:pPr>
            <w:r>
              <w:rPr>
                <w:rFonts w:cs="宋体" w:hint="eastAsia"/>
                <w:kern w:val="2"/>
              </w:rPr>
              <w:t>与生态环境</w:t>
            </w:r>
          </w:p>
        </w:tc>
        <w:tc>
          <w:tcPr>
            <w:tcW w:w="6748" w:type="dxa"/>
            <w:vAlign w:val="center"/>
          </w:tcPr>
          <w:p w:rsidR="005E49F7" w:rsidRDefault="005E49F7">
            <w:pPr>
              <w:pStyle w:val="20"/>
              <w:rPr>
                <w:kern w:val="2"/>
              </w:rPr>
            </w:pPr>
            <w:r>
              <w:rPr>
                <w:rFonts w:cs="宋体" w:hint="eastAsia"/>
                <w:kern w:val="2"/>
              </w:rPr>
              <w:t>减少规划可能造成的对自然资源和生态环境的破坏，尤其是减少对自然保护区及其他具有特殊环境价值的区域的干扰和负面影响，提高生物多样性</w:t>
            </w:r>
          </w:p>
        </w:tc>
      </w:tr>
      <w:tr w:rsidR="005E49F7">
        <w:tc>
          <w:tcPr>
            <w:tcW w:w="1972" w:type="dxa"/>
            <w:vAlign w:val="center"/>
          </w:tcPr>
          <w:p w:rsidR="005E49F7" w:rsidRDefault="005E49F7">
            <w:pPr>
              <w:pStyle w:val="20"/>
              <w:rPr>
                <w:kern w:val="2"/>
              </w:rPr>
            </w:pPr>
            <w:r>
              <w:rPr>
                <w:rFonts w:cs="宋体" w:hint="eastAsia"/>
                <w:kern w:val="2"/>
              </w:rPr>
              <w:t>土地资源</w:t>
            </w:r>
          </w:p>
        </w:tc>
        <w:tc>
          <w:tcPr>
            <w:tcW w:w="6748" w:type="dxa"/>
            <w:vAlign w:val="center"/>
          </w:tcPr>
          <w:p w:rsidR="005E49F7" w:rsidRDefault="005E49F7">
            <w:pPr>
              <w:pStyle w:val="20"/>
              <w:rPr>
                <w:kern w:val="2"/>
              </w:rPr>
            </w:pPr>
            <w:r>
              <w:rPr>
                <w:rFonts w:cs="宋体" w:hint="eastAsia"/>
                <w:kern w:val="2"/>
              </w:rPr>
              <w:t>减少港口建设对岸线资源的占用</w:t>
            </w:r>
          </w:p>
        </w:tc>
      </w:tr>
      <w:tr w:rsidR="005E49F7">
        <w:tc>
          <w:tcPr>
            <w:tcW w:w="1972" w:type="dxa"/>
            <w:vAlign w:val="center"/>
          </w:tcPr>
          <w:p w:rsidR="005E49F7" w:rsidRDefault="005E49F7">
            <w:pPr>
              <w:pStyle w:val="20"/>
              <w:rPr>
                <w:kern w:val="2"/>
              </w:rPr>
            </w:pPr>
            <w:r>
              <w:rPr>
                <w:rFonts w:cs="宋体" w:hint="eastAsia"/>
                <w:kern w:val="2"/>
              </w:rPr>
              <w:t>声环境</w:t>
            </w:r>
          </w:p>
        </w:tc>
        <w:tc>
          <w:tcPr>
            <w:tcW w:w="6748" w:type="dxa"/>
            <w:vAlign w:val="center"/>
          </w:tcPr>
          <w:p w:rsidR="005E49F7" w:rsidRDefault="005E49F7">
            <w:pPr>
              <w:pStyle w:val="20"/>
              <w:rPr>
                <w:kern w:val="2"/>
              </w:rPr>
            </w:pPr>
            <w:r>
              <w:rPr>
                <w:rFonts w:cs="宋体" w:hint="eastAsia"/>
                <w:kern w:val="2"/>
              </w:rPr>
              <w:t>控制区域环境噪声水平和港口区的噪声水平，保障居民住宅等噪声敏感点的声环境达标，减少噪声而产生的居民投诉</w:t>
            </w:r>
          </w:p>
        </w:tc>
      </w:tr>
      <w:tr w:rsidR="005E49F7">
        <w:tc>
          <w:tcPr>
            <w:tcW w:w="1972" w:type="dxa"/>
            <w:vAlign w:val="center"/>
          </w:tcPr>
          <w:p w:rsidR="005E49F7" w:rsidRDefault="005E49F7">
            <w:pPr>
              <w:pStyle w:val="20"/>
              <w:rPr>
                <w:kern w:val="2"/>
              </w:rPr>
            </w:pPr>
            <w:r>
              <w:rPr>
                <w:rFonts w:cs="宋体" w:hint="eastAsia"/>
                <w:kern w:val="2"/>
              </w:rPr>
              <w:t>社会经济</w:t>
            </w:r>
          </w:p>
        </w:tc>
        <w:tc>
          <w:tcPr>
            <w:tcW w:w="6748" w:type="dxa"/>
            <w:vAlign w:val="center"/>
          </w:tcPr>
          <w:p w:rsidR="005E49F7" w:rsidRDefault="005E49F7">
            <w:pPr>
              <w:pStyle w:val="20"/>
              <w:rPr>
                <w:kern w:val="2"/>
              </w:rPr>
            </w:pPr>
            <w:r>
              <w:rPr>
                <w:rFonts w:cs="宋体" w:hint="eastAsia"/>
                <w:kern w:val="2"/>
              </w:rPr>
              <w:t>促进社会经济流动循环，加速社会经济发展</w:t>
            </w:r>
          </w:p>
        </w:tc>
      </w:tr>
    </w:tbl>
    <w:p w:rsidR="005E49F7" w:rsidRDefault="005E49F7" w:rsidP="005E49F7">
      <w:pPr>
        <w:pStyle w:val="11"/>
        <w:ind w:firstLine="31680"/>
      </w:pPr>
    </w:p>
    <w:p w:rsidR="005E49F7" w:rsidRDefault="005E49F7" w:rsidP="00D23914">
      <w:pPr>
        <w:pStyle w:val="11"/>
        <w:ind w:firstLine="31680"/>
      </w:pPr>
      <w:r>
        <w:rPr>
          <w:rFonts w:cs="宋体" w:hint="eastAsia"/>
        </w:rPr>
        <w:t>通过规划方案和布局的分析，筛选出了规划岸线、港口和支持保障系统所涉及到的主要生态环境保护目标。包括：重要水体及饮用水源保护区、自然保护区和风景名胜区等等。</w:t>
      </w:r>
    </w:p>
    <w:p w:rsidR="005E49F7" w:rsidRDefault="005E49F7">
      <w:pPr>
        <w:spacing w:line="360" w:lineRule="auto"/>
        <w:jc w:val="left"/>
        <w:outlineLvl w:val="2"/>
        <w:rPr>
          <w:rFonts w:ascii="宋体"/>
          <w:b/>
          <w:bCs/>
        </w:rPr>
      </w:pPr>
      <w:bookmarkStart w:id="38" w:name="_Toc313490898"/>
      <w:r>
        <w:rPr>
          <w:rFonts w:ascii="宋体" w:hAnsi="宋体" w:cs="宋体"/>
          <w:b/>
          <w:bCs/>
        </w:rPr>
        <w:t xml:space="preserve">3.2.1 </w:t>
      </w:r>
      <w:r>
        <w:rPr>
          <w:rFonts w:ascii="宋体" w:hAnsi="宋体" w:cs="宋体" w:hint="eastAsia"/>
          <w:b/>
          <w:bCs/>
        </w:rPr>
        <w:t>重要水体及饮用水源保护区</w:t>
      </w:r>
      <w:bookmarkEnd w:id="38"/>
    </w:p>
    <w:p w:rsidR="005E49F7" w:rsidRDefault="005E49F7" w:rsidP="00D23914">
      <w:pPr>
        <w:pStyle w:val="11"/>
        <w:ind w:firstLine="31680"/>
      </w:pPr>
      <w:r>
        <w:rPr>
          <w:rFonts w:cs="宋体" w:hint="eastAsia"/>
        </w:rPr>
        <w:t>保护规划各水体中不同河段水功能区的水质目标，规划实施过程中的污染物排放和规划实施后规划河段水流动力条件改变的情况下，河流的水环境质量不受到明显的影响，不影响水体的使用功能，尤其是保护韩江水系水质安全。</w:t>
      </w:r>
    </w:p>
    <w:p w:rsidR="005E49F7" w:rsidRDefault="005E49F7" w:rsidP="00D23914">
      <w:pPr>
        <w:pStyle w:val="1"/>
        <w:ind w:firstLine="31680"/>
      </w:pPr>
      <w:r>
        <w:rPr>
          <w:rFonts w:cs="宋体" w:hint="eastAsia"/>
        </w:rPr>
        <w:t>梅州港总体规划的岸线范围为梅州市辖梅江江干流五华至三河段岸线、汀江干流茶阳至三河段岸线、韩江干流三河至潮州段岸线。各水域水环境功能区水质保护目标和管理目标见表</w:t>
      </w:r>
      <w:r>
        <w:t>3.2-3</w:t>
      </w:r>
      <w:r>
        <w:rPr>
          <w:rFonts w:cs="宋体" w:hint="eastAsia"/>
        </w:rPr>
        <w:t>。初步识别，规划可能涉及生活饮用水地表水源保护区共</w:t>
      </w:r>
      <w:r>
        <w:t>10</w:t>
      </w:r>
      <w:r>
        <w:rPr>
          <w:rFonts w:cs="宋体" w:hint="eastAsia"/>
        </w:rPr>
        <w:t>个，其中一级保护区</w:t>
      </w:r>
      <w:r>
        <w:t>5</w:t>
      </w:r>
      <w:r>
        <w:rPr>
          <w:rFonts w:cs="宋体" w:hint="eastAsia"/>
        </w:rPr>
        <w:t>个，二级保护区</w:t>
      </w:r>
      <w:r>
        <w:t>4</w:t>
      </w:r>
      <w:r>
        <w:rPr>
          <w:rFonts w:cs="宋体" w:hint="eastAsia"/>
        </w:rPr>
        <w:t>个，准保护区</w:t>
      </w:r>
      <w:r>
        <w:t>1</w:t>
      </w:r>
      <w:r>
        <w:rPr>
          <w:rFonts w:cs="宋体" w:hint="eastAsia"/>
        </w:rPr>
        <w:t>个。梅州港总体规划涉及的生活饮用水地表水源保护区见表</w:t>
      </w:r>
      <w:r>
        <w:t>3.4-3</w:t>
      </w:r>
      <w:r>
        <w:rPr>
          <w:rFonts w:cs="宋体" w:hint="eastAsia"/>
        </w:rPr>
        <w:t>。</w:t>
      </w:r>
      <w:r>
        <w:t xml:space="preserve"> </w:t>
      </w:r>
      <w:r>
        <w:rPr>
          <w:rFonts w:cs="宋体" w:hint="eastAsia"/>
        </w:rPr>
        <w:t>本规划与涉及的饮用水源保护区位置关系图见图</w:t>
      </w:r>
      <w:r>
        <w:t>3.2-1</w:t>
      </w:r>
      <w:r>
        <w:rPr>
          <w:rFonts w:cs="宋体" w:hint="eastAsia"/>
        </w:rPr>
        <w:t>。</w:t>
      </w:r>
    </w:p>
    <w:p w:rsidR="005E49F7" w:rsidRDefault="005E49F7">
      <w:pPr>
        <w:pStyle w:val="Heading5"/>
        <w:spacing w:before="120"/>
      </w:pPr>
      <w:r>
        <w:rPr>
          <w:rFonts w:cs="黑体" w:hint="eastAsia"/>
        </w:rPr>
        <w:t>表</w:t>
      </w:r>
      <w:r>
        <w:t xml:space="preserve">3.2-2 </w:t>
      </w:r>
      <w:r>
        <w:rPr>
          <w:rFonts w:cs="黑体" w:hint="eastAsia"/>
        </w:rPr>
        <w:t>规划涉及的水环境功能区划</w:t>
      </w:r>
    </w:p>
    <w:tbl>
      <w:tblPr>
        <w:tblW w:w="8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90"/>
        <w:gridCol w:w="1125"/>
        <w:gridCol w:w="2790"/>
        <w:gridCol w:w="690"/>
        <w:gridCol w:w="1215"/>
        <w:gridCol w:w="1320"/>
        <w:gridCol w:w="790"/>
      </w:tblGrid>
      <w:tr w:rsidR="005E49F7">
        <w:trPr>
          <w:trHeight w:val="397"/>
        </w:trPr>
        <w:tc>
          <w:tcPr>
            <w:tcW w:w="790" w:type="dxa"/>
            <w:vAlign w:val="center"/>
          </w:tcPr>
          <w:p w:rsidR="005E49F7" w:rsidRDefault="005E49F7">
            <w:pPr>
              <w:spacing w:line="240" w:lineRule="auto"/>
              <w:jc w:val="center"/>
              <w:rPr>
                <w:rStyle w:val="110"/>
              </w:rPr>
            </w:pPr>
            <w:r>
              <w:rPr>
                <w:rStyle w:val="110"/>
                <w:rFonts w:cs="宋体" w:hint="eastAsia"/>
              </w:rPr>
              <w:t>序号</w:t>
            </w:r>
          </w:p>
        </w:tc>
        <w:tc>
          <w:tcPr>
            <w:tcW w:w="1125" w:type="dxa"/>
            <w:vAlign w:val="center"/>
          </w:tcPr>
          <w:p w:rsidR="005E49F7" w:rsidRDefault="005E49F7">
            <w:pPr>
              <w:spacing w:line="240" w:lineRule="auto"/>
              <w:jc w:val="center"/>
              <w:rPr>
                <w:rStyle w:val="110"/>
              </w:rPr>
            </w:pPr>
            <w:r>
              <w:rPr>
                <w:rStyle w:val="110"/>
                <w:rFonts w:cs="宋体" w:hint="eastAsia"/>
              </w:rPr>
              <w:t>韩江流段</w:t>
            </w:r>
          </w:p>
        </w:tc>
        <w:tc>
          <w:tcPr>
            <w:tcW w:w="2790" w:type="dxa"/>
            <w:vAlign w:val="center"/>
          </w:tcPr>
          <w:p w:rsidR="005E49F7" w:rsidRDefault="005E49F7">
            <w:pPr>
              <w:spacing w:line="240" w:lineRule="auto"/>
              <w:jc w:val="center"/>
              <w:rPr>
                <w:rStyle w:val="110"/>
              </w:rPr>
            </w:pPr>
            <w:r>
              <w:rPr>
                <w:rStyle w:val="110"/>
                <w:rFonts w:cs="宋体" w:hint="eastAsia"/>
              </w:rPr>
              <w:t>代表区段</w:t>
            </w:r>
          </w:p>
        </w:tc>
        <w:tc>
          <w:tcPr>
            <w:tcW w:w="690" w:type="dxa"/>
            <w:vAlign w:val="center"/>
          </w:tcPr>
          <w:p w:rsidR="005E49F7" w:rsidRDefault="005E49F7">
            <w:pPr>
              <w:spacing w:line="240" w:lineRule="auto"/>
              <w:jc w:val="center"/>
              <w:rPr>
                <w:rStyle w:val="110"/>
              </w:rPr>
            </w:pPr>
            <w:r>
              <w:rPr>
                <w:rStyle w:val="110"/>
                <w:rFonts w:cs="宋体" w:hint="eastAsia"/>
              </w:rPr>
              <w:t>河长</w:t>
            </w:r>
          </w:p>
        </w:tc>
        <w:tc>
          <w:tcPr>
            <w:tcW w:w="1215" w:type="dxa"/>
            <w:vAlign w:val="center"/>
          </w:tcPr>
          <w:p w:rsidR="005E49F7" w:rsidRDefault="005E49F7">
            <w:pPr>
              <w:spacing w:line="240" w:lineRule="auto"/>
              <w:jc w:val="center"/>
              <w:rPr>
                <w:rStyle w:val="110"/>
              </w:rPr>
            </w:pPr>
            <w:r>
              <w:rPr>
                <w:rStyle w:val="110"/>
                <w:rFonts w:cs="宋体" w:hint="eastAsia"/>
              </w:rPr>
              <w:t>水质现状</w:t>
            </w:r>
          </w:p>
        </w:tc>
        <w:tc>
          <w:tcPr>
            <w:tcW w:w="1320" w:type="dxa"/>
            <w:vAlign w:val="center"/>
          </w:tcPr>
          <w:p w:rsidR="005E49F7" w:rsidRDefault="005E49F7">
            <w:pPr>
              <w:spacing w:line="240" w:lineRule="auto"/>
              <w:jc w:val="center"/>
              <w:rPr>
                <w:rStyle w:val="110"/>
              </w:rPr>
            </w:pPr>
            <w:r>
              <w:rPr>
                <w:rStyle w:val="110"/>
                <w:rFonts w:cs="宋体" w:hint="eastAsia"/>
              </w:rPr>
              <w:t>水质目标</w:t>
            </w:r>
          </w:p>
        </w:tc>
        <w:tc>
          <w:tcPr>
            <w:tcW w:w="790" w:type="dxa"/>
            <w:vAlign w:val="center"/>
          </w:tcPr>
          <w:p w:rsidR="005E49F7" w:rsidRDefault="005E49F7">
            <w:pPr>
              <w:spacing w:line="240" w:lineRule="auto"/>
              <w:jc w:val="center"/>
              <w:rPr>
                <w:rStyle w:val="110"/>
              </w:rPr>
            </w:pPr>
            <w:r>
              <w:rPr>
                <w:rStyle w:val="110"/>
                <w:rFonts w:cs="宋体" w:hint="eastAsia"/>
              </w:rPr>
              <w:t>备注</w:t>
            </w:r>
          </w:p>
        </w:tc>
      </w:tr>
      <w:tr w:rsidR="005E49F7">
        <w:trPr>
          <w:trHeight w:val="397"/>
        </w:trPr>
        <w:tc>
          <w:tcPr>
            <w:tcW w:w="790" w:type="dxa"/>
            <w:vAlign w:val="center"/>
          </w:tcPr>
          <w:p w:rsidR="005E49F7" w:rsidRDefault="005E49F7">
            <w:pPr>
              <w:jc w:val="center"/>
              <w:rPr>
                <w:rStyle w:val="110"/>
              </w:rPr>
            </w:pPr>
            <w:r>
              <w:rPr>
                <w:rFonts w:ascii="宋体" w:hAnsi="宋体" w:cs="宋体"/>
                <w:sz w:val="21"/>
                <w:szCs w:val="21"/>
              </w:rPr>
              <w:t>1</w:t>
            </w:r>
          </w:p>
        </w:tc>
        <w:tc>
          <w:tcPr>
            <w:tcW w:w="1125" w:type="dxa"/>
            <w:vAlign w:val="center"/>
          </w:tcPr>
          <w:p w:rsidR="005E49F7" w:rsidRDefault="005E49F7">
            <w:pPr>
              <w:jc w:val="center"/>
              <w:rPr>
                <w:rStyle w:val="110"/>
              </w:rPr>
            </w:pPr>
            <w:r>
              <w:rPr>
                <w:rFonts w:ascii="宋体" w:hAnsi="宋体" w:cs="宋体" w:hint="eastAsia"/>
                <w:sz w:val="21"/>
                <w:szCs w:val="21"/>
              </w:rPr>
              <w:t>梅江干流</w:t>
            </w:r>
          </w:p>
        </w:tc>
        <w:tc>
          <w:tcPr>
            <w:tcW w:w="2790" w:type="dxa"/>
            <w:vAlign w:val="center"/>
          </w:tcPr>
          <w:p w:rsidR="005E49F7" w:rsidRDefault="005E49F7">
            <w:pPr>
              <w:jc w:val="center"/>
              <w:rPr>
                <w:rStyle w:val="110"/>
              </w:rPr>
            </w:pPr>
            <w:r>
              <w:rPr>
                <w:rFonts w:ascii="宋体" w:hAnsi="宋体" w:cs="宋体" w:hint="eastAsia"/>
                <w:sz w:val="21"/>
                <w:szCs w:val="21"/>
              </w:rPr>
              <w:t>兴宁市水口</w:t>
            </w:r>
            <w:r>
              <w:rPr>
                <w:rFonts w:ascii="宋体" w:cs="宋体"/>
                <w:sz w:val="21"/>
                <w:szCs w:val="21"/>
              </w:rPr>
              <w:t>-</w:t>
            </w:r>
            <w:r>
              <w:rPr>
                <w:rFonts w:ascii="宋体" w:hAnsi="宋体" w:cs="宋体" w:hint="eastAsia"/>
                <w:sz w:val="21"/>
                <w:szCs w:val="21"/>
              </w:rPr>
              <w:t>畲江镇官铺</w:t>
            </w:r>
          </w:p>
        </w:tc>
        <w:tc>
          <w:tcPr>
            <w:tcW w:w="690" w:type="dxa"/>
            <w:vAlign w:val="center"/>
          </w:tcPr>
          <w:p w:rsidR="005E49F7" w:rsidRDefault="005E49F7">
            <w:pPr>
              <w:spacing w:line="240" w:lineRule="auto"/>
              <w:jc w:val="center"/>
              <w:rPr>
                <w:rStyle w:val="110"/>
              </w:rPr>
            </w:pPr>
            <w:r>
              <w:rPr>
                <w:rStyle w:val="110"/>
              </w:rPr>
              <w:t>8.6</w:t>
            </w:r>
          </w:p>
        </w:tc>
        <w:tc>
          <w:tcPr>
            <w:tcW w:w="1215" w:type="dxa"/>
            <w:vAlign w:val="center"/>
          </w:tcPr>
          <w:p w:rsidR="005E49F7" w:rsidRDefault="005E49F7">
            <w:pPr>
              <w:spacing w:line="240" w:lineRule="auto"/>
              <w:jc w:val="center"/>
              <w:rPr>
                <w:rStyle w:val="110"/>
              </w:rPr>
            </w:pPr>
            <w:r>
              <w:rPr>
                <w:rStyle w:val="110"/>
                <w:rFonts w:cs="宋体" w:hint="eastAsia"/>
              </w:rPr>
              <w:t>Ⅱ</w:t>
            </w:r>
          </w:p>
        </w:tc>
        <w:tc>
          <w:tcPr>
            <w:tcW w:w="1320" w:type="dxa"/>
            <w:vAlign w:val="center"/>
          </w:tcPr>
          <w:p w:rsidR="005E49F7" w:rsidRDefault="005E49F7">
            <w:pPr>
              <w:jc w:val="center"/>
              <w:rPr>
                <w:rStyle w:val="110"/>
              </w:rPr>
            </w:pPr>
            <w:r>
              <w:rPr>
                <w:rFonts w:ascii="宋体" w:hAnsi="宋体" w:cs="宋体" w:hint="eastAsia"/>
                <w:sz w:val="21"/>
                <w:szCs w:val="21"/>
              </w:rPr>
              <w:t>Ⅱ</w:t>
            </w:r>
          </w:p>
        </w:tc>
        <w:tc>
          <w:tcPr>
            <w:tcW w:w="790" w:type="dxa"/>
            <w:vAlign w:val="center"/>
          </w:tcPr>
          <w:p w:rsidR="005E49F7" w:rsidRDefault="005E49F7">
            <w:pPr>
              <w:spacing w:line="240" w:lineRule="auto"/>
              <w:jc w:val="center"/>
              <w:rPr>
                <w:rStyle w:val="110"/>
              </w:rPr>
            </w:pPr>
          </w:p>
        </w:tc>
      </w:tr>
      <w:tr w:rsidR="005E49F7">
        <w:trPr>
          <w:trHeight w:val="397"/>
        </w:trPr>
        <w:tc>
          <w:tcPr>
            <w:tcW w:w="790" w:type="dxa"/>
            <w:vAlign w:val="center"/>
          </w:tcPr>
          <w:p w:rsidR="005E49F7" w:rsidRDefault="005E49F7">
            <w:pPr>
              <w:jc w:val="center"/>
              <w:rPr>
                <w:rStyle w:val="110"/>
              </w:rPr>
            </w:pPr>
            <w:r>
              <w:rPr>
                <w:rFonts w:ascii="宋体" w:hAnsi="宋体" w:cs="宋体"/>
                <w:sz w:val="21"/>
                <w:szCs w:val="21"/>
              </w:rPr>
              <w:t>2</w:t>
            </w:r>
          </w:p>
        </w:tc>
        <w:tc>
          <w:tcPr>
            <w:tcW w:w="1125" w:type="dxa"/>
            <w:vAlign w:val="center"/>
          </w:tcPr>
          <w:p w:rsidR="005E49F7" w:rsidRDefault="005E49F7">
            <w:pPr>
              <w:jc w:val="center"/>
              <w:rPr>
                <w:rStyle w:val="110"/>
              </w:rPr>
            </w:pPr>
            <w:r>
              <w:rPr>
                <w:rFonts w:ascii="宋体" w:hAnsi="宋体" w:cs="宋体" w:hint="eastAsia"/>
                <w:sz w:val="21"/>
                <w:szCs w:val="21"/>
              </w:rPr>
              <w:t>梅江干流</w:t>
            </w:r>
          </w:p>
        </w:tc>
        <w:tc>
          <w:tcPr>
            <w:tcW w:w="2790" w:type="dxa"/>
            <w:vAlign w:val="center"/>
          </w:tcPr>
          <w:p w:rsidR="005E49F7" w:rsidRDefault="005E49F7">
            <w:pPr>
              <w:jc w:val="center"/>
              <w:rPr>
                <w:rStyle w:val="110"/>
              </w:rPr>
            </w:pPr>
            <w:r>
              <w:rPr>
                <w:rFonts w:ascii="宋体" w:hAnsi="宋体" w:cs="宋体" w:hint="eastAsia"/>
                <w:sz w:val="21"/>
                <w:szCs w:val="21"/>
              </w:rPr>
              <w:t>畲江镇官铺</w:t>
            </w:r>
            <w:r>
              <w:rPr>
                <w:rFonts w:ascii="宋体" w:cs="宋体"/>
                <w:sz w:val="21"/>
                <w:szCs w:val="21"/>
              </w:rPr>
              <w:t>-</w:t>
            </w:r>
            <w:r>
              <w:rPr>
                <w:rFonts w:ascii="宋体" w:hAnsi="宋体" w:cs="宋体" w:hint="eastAsia"/>
                <w:sz w:val="21"/>
                <w:szCs w:val="21"/>
              </w:rPr>
              <w:t>水车镇安和</w:t>
            </w:r>
          </w:p>
        </w:tc>
        <w:tc>
          <w:tcPr>
            <w:tcW w:w="690" w:type="dxa"/>
            <w:vAlign w:val="center"/>
          </w:tcPr>
          <w:p w:rsidR="005E49F7" w:rsidRDefault="005E49F7">
            <w:pPr>
              <w:spacing w:line="240" w:lineRule="auto"/>
              <w:jc w:val="center"/>
              <w:rPr>
                <w:rStyle w:val="110"/>
              </w:rPr>
            </w:pPr>
            <w:r>
              <w:rPr>
                <w:rStyle w:val="110"/>
              </w:rPr>
              <w:t>15</w:t>
            </w:r>
          </w:p>
        </w:tc>
        <w:tc>
          <w:tcPr>
            <w:tcW w:w="1215" w:type="dxa"/>
            <w:vAlign w:val="center"/>
          </w:tcPr>
          <w:p w:rsidR="005E49F7" w:rsidRDefault="005E49F7">
            <w:pPr>
              <w:spacing w:line="240" w:lineRule="auto"/>
              <w:jc w:val="center"/>
              <w:rPr>
                <w:rStyle w:val="110"/>
              </w:rPr>
            </w:pPr>
            <w:r>
              <w:rPr>
                <w:rStyle w:val="110"/>
                <w:rFonts w:cs="宋体" w:hint="eastAsia"/>
              </w:rPr>
              <w:t>Ⅱ</w:t>
            </w:r>
          </w:p>
        </w:tc>
        <w:tc>
          <w:tcPr>
            <w:tcW w:w="1320" w:type="dxa"/>
            <w:vAlign w:val="center"/>
          </w:tcPr>
          <w:p w:rsidR="005E49F7" w:rsidRDefault="005E49F7">
            <w:pPr>
              <w:jc w:val="center"/>
              <w:rPr>
                <w:rStyle w:val="110"/>
              </w:rPr>
            </w:pPr>
            <w:r>
              <w:rPr>
                <w:rFonts w:ascii="宋体" w:hAnsi="宋体" w:cs="宋体" w:hint="eastAsia"/>
                <w:sz w:val="21"/>
                <w:szCs w:val="21"/>
              </w:rPr>
              <w:t>Ⅲ类管理</w:t>
            </w:r>
            <w:r>
              <w:rPr>
                <w:rFonts w:ascii="宋体" w:cs="宋体"/>
                <w:sz w:val="21"/>
                <w:szCs w:val="21"/>
              </w:rPr>
              <w:t>,</w:t>
            </w:r>
            <w:r>
              <w:rPr>
                <w:rFonts w:ascii="宋体" w:hAnsi="宋体" w:cs="宋体" w:hint="eastAsia"/>
                <w:sz w:val="21"/>
                <w:szCs w:val="21"/>
              </w:rPr>
              <w:t>Ⅱ类控制</w:t>
            </w:r>
          </w:p>
        </w:tc>
        <w:tc>
          <w:tcPr>
            <w:tcW w:w="790" w:type="dxa"/>
            <w:vAlign w:val="center"/>
          </w:tcPr>
          <w:p w:rsidR="005E49F7" w:rsidRDefault="005E49F7">
            <w:pPr>
              <w:spacing w:line="240" w:lineRule="auto"/>
              <w:ind w:firstLine="420"/>
              <w:jc w:val="center"/>
              <w:rPr>
                <w:rStyle w:val="110"/>
              </w:rPr>
            </w:pPr>
          </w:p>
        </w:tc>
      </w:tr>
      <w:tr w:rsidR="005E49F7">
        <w:trPr>
          <w:trHeight w:val="397"/>
        </w:trPr>
        <w:tc>
          <w:tcPr>
            <w:tcW w:w="790" w:type="dxa"/>
            <w:vAlign w:val="center"/>
          </w:tcPr>
          <w:p w:rsidR="005E49F7" w:rsidRDefault="005E49F7">
            <w:pPr>
              <w:jc w:val="center"/>
              <w:rPr>
                <w:rStyle w:val="110"/>
              </w:rPr>
            </w:pPr>
            <w:r>
              <w:rPr>
                <w:rFonts w:ascii="宋体" w:hAnsi="宋体" w:cs="宋体"/>
                <w:sz w:val="21"/>
                <w:szCs w:val="21"/>
              </w:rPr>
              <w:t>3</w:t>
            </w:r>
          </w:p>
        </w:tc>
        <w:tc>
          <w:tcPr>
            <w:tcW w:w="1125" w:type="dxa"/>
            <w:vAlign w:val="center"/>
          </w:tcPr>
          <w:p w:rsidR="005E49F7" w:rsidRDefault="005E49F7">
            <w:pPr>
              <w:jc w:val="center"/>
              <w:rPr>
                <w:rStyle w:val="110"/>
              </w:rPr>
            </w:pPr>
            <w:r>
              <w:rPr>
                <w:rFonts w:ascii="宋体" w:hAnsi="宋体" w:cs="宋体" w:hint="eastAsia"/>
                <w:sz w:val="21"/>
                <w:szCs w:val="21"/>
              </w:rPr>
              <w:t>梅江干流</w:t>
            </w:r>
          </w:p>
        </w:tc>
        <w:tc>
          <w:tcPr>
            <w:tcW w:w="2790" w:type="dxa"/>
            <w:vAlign w:val="center"/>
          </w:tcPr>
          <w:p w:rsidR="005E49F7" w:rsidRDefault="005E49F7">
            <w:pPr>
              <w:jc w:val="center"/>
              <w:rPr>
                <w:rStyle w:val="110"/>
              </w:rPr>
            </w:pPr>
            <w:r>
              <w:rPr>
                <w:rFonts w:ascii="宋体" w:hAnsi="宋体" w:cs="宋体" w:hint="eastAsia"/>
                <w:sz w:val="21"/>
                <w:szCs w:val="21"/>
              </w:rPr>
              <w:t>水车镇安和</w:t>
            </w:r>
            <w:r>
              <w:rPr>
                <w:rFonts w:ascii="宋体" w:cs="宋体"/>
                <w:sz w:val="21"/>
                <w:szCs w:val="21"/>
              </w:rPr>
              <w:t>-</w:t>
            </w:r>
            <w:r>
              <w:rPr>
                <w:rFonts w:ascii="宋体" w:hAnsi="宋体" w:cs="宋体" w:hint="eastAsia"/>
                <w:sz w:val="21"/>
                <w:szCs w:val="21"/>
              </w:rPr>
              <w:t>程江入梅江口</w:t>
            </w:r>
          </w:p>
        </w:tc>
        <w:tc>
          <w:tcPr>
            <w:tcW w:w="690" w:type="dxa"/>
            <w:vAlign w:val="center"/>
          </w:tcPr>
          <w:p w:rsidR="005E49F7" w:rsidRDefault="005E49F7">
            <w:pPr>
              <w:spacing w:line="240" w:lineRule="auto"/>
              <w:jc w:val="center"/>
              <w:rPr>
                <w:rStyle w:val="110"/>
              </w:rPr>
            </w:pPr>
            <w:r>
              <w:rPr>
                <w:rStyle w:val="110"/>
              </w:rPr>
              <w:t>30</w:t>
            </w:r>
          </w:p>
        </w:tc>
        <w:tc>
          <w:tcPr>
            <w:tcW w:w="1215" w:type="dxa"/>
            <w:vAlign w:val="center"/>
          </w:tcPr>
          <w:p w:rsidR="005E49F7" w:rsidRDefault="005E49F7">
            <w:pPr>
              <w:spacing w:line="240" w:lineRule="auto"/>
              <w:jc w:val="center"/>
              <w:rPr>
                <w:rStyle w:val="110"/>
              </w:rPr>
            </w:pPr>
            <w:r>
              <w:rPr>
                <w:rStyle w:val="110"/>
                <w:rFonts w:cs="宋体" w:hint="eastAsia"/>
              </w:rPr>
              <w:t>Ⅱ</w:t>
            </w:r>
          </w:p>
        </w:tc>
        <w:tc>
          <w:tcPr>
            <w:tcW w:w="1320" w:type="dxa"/>
            <w:vAlign w:val="center"/>
          </w:tcPr>
          <w:p w:rsidR="005E49F7" w:rsidRDefault="005E49F7">
            <w:pPr>
              <w:jc w:val="center"/>
              <w:rPr>
                <w:rStyle w:val="110"/>
              </w:rPr>
            </w:pPr>
            <w:r>
              <w:rPr>
                <w:rFonts w:ascii="宋体" w:hAnsi="宋体" w:cs="宋体" w:hint="eastAsia"/>
                <w:sz w:val="21"/>
                <w:szCs w:val="21"/>
              </w:rPr>
              <w:t>Ⅱ</w:t>
            </w:r>
          </w:p>
        </w:tc>
        <w:tc>
          <w:tcPr>
            <w:tcW w:w="790" w:type="dxa"/>
            <w:vAlign w:val="center"/>
          </w:tcPr>
          <w:p w:rsidR="005E49F7" w:rsidRDefault="005E49F7">
            <w:pPr>
              <w:spacing w:line="240" w:lineRule="auto"/>
              <w:jc w:val="center"/>
              <w:rPr>
                <w:rStyle w:val="110"/>
              </w:rPr>
            </w:pPr>
          </w:p>
        </w:tc>
      </w:tr>
      <w:tr w:rsidR="005E49F7">
        <w:trPr>
          <w:trHeight w:val="397"/>
        </w:trPr>
        <w:tc>
          <w:tcPr>
            <w:tcW w:w="790" w:type="dxa"/>
            <w:vAlign w:val="center"/>
          </w:tcPr>
          <w:p w:rsidR="005E49F7" w:rsidRDefault="005E49F7">
            <w:pPr>
              <w:jc w:val="center"/>
              <w:rPr>
                <w:rStyle w:val="110"/>
              </w:rPr>
            </w:pPr>
            <w:r>
              <w:rPr>
                <w:rFonts w:ascii="宋体" w:hAnsi="宋体" w:cs="宋体"/>
                <w:sz w:val="21"/>
                <w:szCs w:val="21"/>
              </w:rPr>
              <w:t>4</w:t>
            </w:r>
          </w:p>
        </w:tc>
        <w:tc>
          <w:tcPr>
            <w:tcW w:w="1125" w:type="dxa"/>
            <w:vAlign w:val="center"/>
          </w:tcPr>
          <w:p w:rsidR="005E49F7" w:rsidRDefault="005E49F7">
            <w:pPr>
              <w:jc w:val="center"/>
              <w:rPr>
                <w:rStyle w:val="110"/>
              </w:rPr>
            </w:pPr>
            <w:r>
              <w:rPr>
                <w:rFonts w:ascii="宋体" w:hAnsi="宋体" w:cs="宋体" w:hint="eastAsia"/>
                <w:sz w:val="21"/>
                <w:szCs w:val="21"/>
              </w:rPr>
              <w:t>梅江干流</w:t>
            </w:r>
          </w:p>
        </w:tc>
        <w:tc>
          <w:tcPr>
            <w:tcW w:w="2790" w:type="dxa"/>
            <w:vAlign w:val="center"/>
          </w:tcPr>
          <w:p w:rsidR="005E49F7" w:rsidRDefault="005E49F7">
            <w:pPr>
              <w:jc w:val="center"/>
              <w:rPr>
                <w:rStyle w:val="110"/>
              </w:rPr>
            </w:pPr>
            <w:r>
              <w:rPr>
                <w:rFonts w:ascii="宋体" w:hAnsi="宋体" w:cs="宋体" w:hint="eastAsia"/>
                <w:sz w:val="21"/>
                <w:szCs w:val="21"/>
              </w:rPr>
              <w:t>程江入梅江口</w:t>
            </w:r>
            <w:r>
              <w:rPr>
                <w:rFonts w:ascii="宋体" w:hAnsi="宋体" w:cs="宋体"/>
                <w:sz w:val="21"/>
                <w:szCs w:val="21"/>
              </w:rPr>
              <w:t>—</w:t>
            </w:r>
            <w:r>
              <w:rPr>
                <w:rFonts w:ascii="宋体" w:hAnsi="宋体" w:cs="宋体" w:hint="eastAsia"/>
                <w:sz w:val="21"/>
                <w:szCs w:val="21"/>
              </w:rPr>
              <w:t>西阳镇</w:t>
            </w:r>
          </w:p>
        </w:tc>
        <w:tc>
          <w:tcPr>
            <w:tcW w:w="690" w:type="dxa"/>
            <w:vAlign w:val="center"/>
          </w:tcPr>
          <w:p w:rsidR="005E49F7" w:rsidRDefault="005E49F7">
            <w:pPr>
              <w:spacing w:line="240" w:lineRule="auto"/>
              <w:jc w:val="center"/>
              <w:rPr>
                <w:rStyle w:val="110"/>
              </w:rPr>
            </w:pPr>
            <w:r>
              <w:rPr>
                <w:rStyle w:val="110"/>
              </w:rPr>
              <w:t>12</w:t>
            </w:r>
          </w:p>
        </w:tc>
        <w:tc>
          <w:tcPr>
            <w:tcW w:w="1215" w:type="dxa"/>
            <w:vAlign w:val="center"/>
          </w:tcPr>
          <w:p w:rsidR="005E49F7" w:rsidRDefault="005E49F7">
            <w:pPr>
              <w:spacing w:line="240" w:lineRule="auto"/>
              <w:jc w:val="center"/>
              <w:rPr>
                <w:rStyle w:val="110"/>
              </w:rPr>
            </w:pPr>
            <w:r>
              <w:rPr>
                <w:rStyle w:val="110"/>
                <w:rFonts w:cs="宋体" w:hint="eastAsia"/>
              </w:rPr>
              <w:t>Ⅱ</w:t>
            </w:r>
          </w:p>
        </w:tc>
        <w:tc>
          <w:tcPr>
            <w:tcW w:w="1320" w:type="dxa"/>
            <w:vAlign w:val="center"/>
          </w:tcPr>
          <w:p w:rsidR="005E49F7" w:rsidRDefault="005E49F7">
            <w:pPr>
              <w:jc w:val="center"/>
              <w:rPr>
                <w:rStyle w:val="110"/>
              </w:rPr>
            </w:pPr>
            <w:r>
              <w:rPr>
                <w:rStyle w:val="110"/>
                <w:rFonts w:cs="宋体" w:hint="eastAsia"/>
              </w:rPr>
              <w:t>Ⅱ</w:t>
            </w:r>
          </w:p>
        </w:tc>
        <w:tc>
          <w:tcPr>
            <w:tcW w:w="790" w:type="dxa"/>
            <w:vAlign w:val="center"/>
          </w:tcPr>
          <w:p w:rsidR="005E49F7" w:rsidRDefault="005E49F7">
            <w:pPr>
              <w:spacing w:line="240" w:lineRule="auto"/>
              <w:jc w:val="center"/>
              <w:rPr>
                <w:rStyle w:val="110"/>
              </w:rPr>
            </w:pPr>
          </w:p>
        </w:tc>
      </w:tr>
      <w:tr w:rsidR="005E49F7">
        <w:trPr>
          <w:trHeight w:val="397"/>
        </w:trPr>
        <w:tc>
          <w:tcPr>
            <w:tcW w:w="790" w:type="dxa"/>
            <w:vAlign w:val="center"/>
          </w:tcPr>
          <w:p w:rsidR="005E49F7" w:rsidRDefault="005E49F7">
            <w:pPr>
              <w:jc w:val="center"/>
              <w:rPr>
                <w:rStyle w:val="110"/>
              </w:rPr>
            </w:pPr>
            <w:r>
              <w:rPr>
                <w:rFonts w:ascii="宋体" w:hAnsi="宋体" w:cs="宋体"/>
                <w:sz w:val="21"/>
                <w:szCs w:val="21"/>
              </w:rPr>
              <w:t>5</w:t>
            </w:r>
          </w:p>
        </w:tc>
        <w:tc>
          <w:tcPr>
            <w:tcW w:w="1125" w:type="dxa"/>
            <w:vAlign w:val="center"/>
          </w:tcPr>
          <w:p w:rsidR="005E49F7" w:rsidRDefault="005E49F7">
            <w:pPr>
              <w:jc w:val="center"/>
              <w:rPr>
                <w:rStyle w:val="110"/>
              </w:rPr>
            </w:pPr>
            <w:r>
              <w:rPr>
                <w:rFonts w:ascii="宋体" w:hAnsi="宋体" w:cs="宋体" w:hint="eastAsia"/>
                <w:sz w:val="21"/>
                <w:szCs w:val="21"/>
              </w:rPr>
              <w:t>梅江干流</w:t>
            </w:r>
          </w:p>
        </w:tc>
        <w:tc>
          <w:tcPr>
            <w:tcW w:w="2790" w:type="dxa"/>
            <w:vAlign w:val="center"/>
          </w:tcPr>
          <w:p w:rsidR="005E49F7" w:rsidRDefault="005E49F7">
            <w:pPr>
              <w:jc w:val="center"/>
              <w:rPr>
                <w:rStyle w:val="110"/>
              </w:rPr>
            </w:pPr>
            <w:r>
              <w:rPr>
                <w:rFonts w:ascii="宋体" w:hAnsi="宋体" w:cs="宋体" w:hint="eastAsia"/>
                <w:sz w:val="21"/>
                <w:szCs w:val="21"/>
              </w:rPr>
              <w:t>西阳镇</w:t>
            </w:r>
            <w:r>
              <w:rPr>
                <w:rFonts w:ascii="宋体" w:hAnsi="宋体" w:cs="宋体"/>
                <w:sz w:val="21"/>
                <w:szCs w:val="21"/>
              </w:rPr>
              <w:t>—</w:t>
            </w:r>
            <w:r>
              <w:rPr>
                <w:rFonts w:ascii="宋体" w:hAnsi="宋体" w:cs="宋体" w:hint="eastAsia"/>
                <w:sz w:val="21"/>
                <w:szCs w:val="21"/>
              </w:rPr>
              <w:t>三河镇</w:t>
            </w:r>
          </w:p>
        </w:tc>
        <w:tc>
          <w:tcPr>
            <w:tcW w:w="690" w:type="dxa"/>
            <w:vAlign w:val="center"/>
          </w:tcPr>
          <w:p w:rsidR="005E49F7" w:rsidRDefault="005E49F7">
            <w:pPr>
              <w:spacing w:line="240" w:lineRule="auto"/>
              <w:jc w:val="center"/>
              <w:rPr>
                <w:rStyle w:val="110"/>
              </w:rPr>
            </w:pPr>
            <w:r>
              <w:rPr>
                <w:rStyle w:val="110"/>
              </w:rPr>
              <w:t>69.8</w:t>
            </w:r>
          </w:p>
        </w:tc>
        <w:tc>
          <w:tcPr>
            <w:tcW w:w="1215" w:type="dxa"/>
            <w:vAlign w:val="center"/>
          </w:tcPr>
          <w:p w:rsidR="005E49F7" w:rsidRDefault="005E49F7">
            <w:pPr>
              <w:spacing w:line="240" w:lineRule="auto"/>
              <w:jc w:val="center"/>
              <w:rPr>
                <w:rStyle w:val="110"/>
              </w:rPr>
            </w:pPr>
            <w:r>
              <w:rPr>
                <w:rStyle w:val="110"/>
                <w:rFonts w:cs="宋体" w:hint="eastAsia"/>
              </w:rPr>
              <w:t>Ⅱ</w:t>
            </w:r>
          </w:p>
        </w:tc>
        <w:tc>
          <w:tcPr>
            <w:tcW w:w="1320" w:type="dxa"/>
            <w:vAlign w:val="center"/>
          </w:tcPr>
          <w:p w:rsidR="005E49F7" w:rsidRDefault="005E49F7">
            <w:pPr>
              <w:jc w:val="center"/>
              <w:rPr>
                <w:rStyle w:val="110"/>
              </w:rPr>
            </w:pPr>
            <w:r>
              <w:rPr>
                <w:rFonts w:ascii="宋体" w:hAnsi="宋体" w:cs="宋体" w:hint="eastAsia"/>
                <w:sz w:val="21"/>
                <w:szCs w:val="21"/>
              </w:rPr>
              <w:t>Ⅱ</w:t>
            </w:r>
          </w:p>
        </w:tc>
        <w:tc>
          <w:tcPr>
            <w:tcW w:w="790" w:type="dxa"/>
            <w:vAlign w:val="center"/>
          </w:tcPr>
          <w:p w:rsidR="005E49F7" w:rsidRDefault="005E49F7">
            <w:pPr>
              <w:spacing w:line="240" w:lineRule="auto"/>
              <w:jc w:val="center"/>
              <w:rPr>
                <w:rStyle w:val="110"/>
              </w:rPr>
            </w:pPr>
          </w:p>
        </w:tc>
      </w:tr>
      <w:tr w:rsidR="005E49F7">
        <w:trPr>
          <w:trHeight w:val="397"/>
        </w:trPr>
        <w:tc>
          <w:tcPr>
            <w:tcW w:w="790" w:type="dxa"/>
            <w:vAlign w:val="center"/>
          </w:tcPr>
          <w:p w:rsidR="005E49F7" w:rsidRDefault="005E49F7">
            <w:pPr>
              <w:jc w:val="center"/>
              <w:rPr>
                <w:rStyle w:val="110"/>
              </w:rPr>
            </w:pPr>
            <w:r>
              <w:rPr>
                <w:rFonts w:ascii="宋体" w:hAnsi="宋体" w:cs="宋体"/>
                <w:sz w:val="21"/>
                <w:szCs w:val="21"/>
              </w:rPr>
              <w:t>6</w:t>
            </w:r>
          </w:p>
        </w:tc>
        <w:tc>
          <w:tcPr>
            <w:tcW w:w="1125" w:type="dxa"/>
            <w:vAlign w:val="center"/>
          </w:tcPr>
          <w:p w:rsidR="005E49F7" w:rsidRDefault="005E49F7">
            <w:pPr>
              <w:jc w:val="center"/>
              <w:rPr>
                <w:rStyle w:val="110"/>
              </w:rPr>
            </w:pPr>
            <w:r>
              <w:rPr>
                <w:rFonts w:ascii="宋体" w:hAnsi="宋体" w:cs="宋体" w:hint="eastAsia"/>
                <w:sz w:val="21"/>
                <w:szCs w:val="21"/>
              </w:rPr>
              <w:t>石窟河</w:t>
            </w:r>
          </w:p>
        </w:tc>
        <w:tc>
          <w:tcPr>
            <w:tcW w:w="2790" w:type="dxa"/>
            <w:vAlign w:val="center"/>
          </w:tcPr>
          <w:p w:rsidR="005E49F7" w:rsidRDefault="005E49F7">
            <w:pPr>
              <w:jc w:val="center"/>
              <w:rPr>
                <w:rStyle w:val="110"/>
              </w:rPr>
            </w:pPr>
            <w:r>
              <w:rPr>
                <w:rFonts w:ascii="宋体" w:hAnsi="宋体" w:cs="宋体" w:hint="eastAsia"/>
                <w:sz w:val="21"/>
                <w:szCs w:val="21"/>
              </w:rPr>
              <w:t>蕉岭新埔镇</w:t>
            </w:r>
            <w:r>
              <w:rPr>
                <w:rFonts w:ascii="宋体" w:cs="宋体"/>
                <w:sz w:val="21"/>
                <w:szCs w:val="21"/>
              </w:rPr>
              <w:t>-</w:t>
            </w:r>
            <w:r>
              <w:rPr>
                <w:rFonts w:ascii="宋体" w:hAnsi="宋体" w:cs="宋体" w:hint="eastAsia"/>
                <w:sz w:val="21"/>
                <w:szCs w:val="21"/>
              </w:rPr>
              <w:t>梅州东洲坝</w:t>
            </w:r>
          </w:p>
        </w:tc>
        <w:tc>
          <w:tcPr>
            <w:tcW w:w="690" w:type="dxa"/>
            <w:vAlign w:val="center"/>
          </w:tcPr>
          <w:p w:rsidR="005E49F7" w:rsidRDefault="005E49F7">
            <w:pPr>
              <w:spacing w:line="240" w:lineRule="auto"/>
              <w:jc w:val="center"/>
              <w:rPr>
                <w:rStyle w:val="110"/>
              </w:rPr>
            </w:pPr>
            <w:r>
              <w:rPr>
                <w:rStyle w:val="110"/>
              </w:rPr>
              <w:t>19.5</w:t>
            </w:r>
          </w:p>
        </w:tc>
        <w:tc>
          <w:tcPr>
            <w:tcW w:w="1215" w:type="dxa"/>
            <w:vAlign w:val="center"/>
          </w:tcPr>
          <w:p w:rsidR="005E49F7" w:rsidRDefault="005E49F7">
            <w:pPr>
              <w:spacing w:line="240" w:lineRule="auto"/>
              <w:jc w:val="center"/>
              <w:rPr>
                <w:rStyle w:val="110"/>
              </w:rPr>
            </w:pPr>
            <w:r>
              <w:rPr>
                <w:rStyle w:val="110"/>
                <w:rFonts w:cs="宋体" w:hint="eastAsia"/>
              </w:rPr>
              <w:t>Ⅱ</w:t>
            </w:r>
          </w:p>
        </w:tc>
        <w:tc>
          <w:tcPr>
            <w:tcW w:w="1320" w:type="dxa"/>
            <w:vAlign w:val="center"/>
          </w:tcPr>
          <w:p w:rsidR="005E49F7" w:rsidRDefault="005E49F7">
            <w:pPr>
              <w:jc w:val="center"/>
              <w:rPr>
                <w:rStyle w:val="110"/>
              </w:rPr>
            </w:pPr>
            <w:r>
              <w:rPr>
                <w:rFonts w:ascii="宋体" w:hAnsi="宋体" w:cs="宋体" w:hint="eastAsia"/>
                <w:sz w:val="21"/>
                <w:szCs w:val="21"/>
              </w:rPr>
              <w:t>Ⅱ</w:t>
            </w:r>
          </w:p>
        </w:tc>
        <w:tc>
          <w:tcPr>
            <w:tcW w:w="790" w:type="dxa"/>
            <w:vAlign w:val="center"/>
          </w:tcPr>
          <w:p w:rsidR="005E49F7" w:rsidRDefault="005E49F7">
            <w:pPr>
              <w:spacing w:line="240" w:lineRule="auto"/>
              <w:jc w:val="center"/>
              <w:rPr>
                <w:rStyle w:val="110"/>
              </w:rPr>
            </w:pPr>
          </w:p>
        </w:tc>
      </w:tr>
      <w:tr w:rsidR="005E49F7">
        <w:trPr>
          <w:trHeight w:val="397"/>
        </w:trPr>
        <w:tc>
          <w:tcPr>
            <w:tcW w:w="790" w:type="dxa"/>
            <w:vAlign w:val="center"/>
          </w:tcPr>
          <w:p w:rsidR="005E49F7" w:rsidRDefault="005E49F7">
            <w:pPr>
              <w:jc w:val="center"/>
              <w:rPr>
                <w:rStyle w:val="110"/>
              </w:rPr>
            </w:pPr>
            <w:r>
              <w:rPr>
                <w:rFonts w:ascii="宋体" w:hAnsi="宋体" w:cs="宋体"/>
                <w:sz w:val="21"/>
                <w:szCs w:val="21"/>
              </w:rPr>
              <w:t>7</w:t>
            </w:r>
          </w:p>
        </w:tc>
        <w:tc>
          <w:tcPr>
            <w:tcW w:w="1125" w:type="dxa"/>
            <w:vAlign w:val="center"/>
          </w:tcPr>
          <w:p w:rsidR="005E49F7" w:rsidRDefault="005E49F7">
            <w:pPr>
              <w:jc w:val="center"/>
              <w:rPr>
                <w:rStyle w:val="110"/>
              </w:rPr>
            </w:pPr>
            <w:r>
              <w:rPr>
                <w:rFonts w:ascii="宋体" w:hAnsi="宋体" w:cs="宋体" w:hint="eastAsia"/>
                <w:sz w:val="21"/>
                <w:szCs w:val="21"/>
              </w:rPr>
              <w:t>汀江</w:t>
            </w:r>
          </w:p>
        </w:tc>
        <w:tc>
          <w:tcPr>
            <w:tcW w:w="2790" w:type="dxa"/>
            <w:vAlign w:val="center"/>
          </w:tcPr>
          <w:p w:rsidR="005E49F7" w:rsidRDefault="005E49F7">
            <w:pPr>
              <w:jc w:val="center"/>
              <w:rPr>
                <w:rStyle w:val="110"/>
              </w:rPr>
            </w:pPr>
            <w:r>
              <w:rPr>
                <w:rFonts w:ascii="宋体" w:hAnsi="宋体" w:cs="宋体" w:hint="eastAsia"/>
                <w:sz w:val="21"/>
                <w:szCs w:val="21"/>
              </w:rPr>
              <w:t>福建省界</w:t>
            </w:r>
            <w:r>
              <w:rPr>
                <w:rFonts w:ascii="宋体" w:hAnsi="宋体" w:cs="宋体"/>
                <w:sz w:val="21"/>
                <w:szCs w:val="21"/>
              </w:rPr>
              <w:t>—</w:t>
            </w:r>
            <w:r>
              <w:rPr>
                <w:rFonts w:ascii="宋体" w:hAnsi="宋体" w:cs="宋体" w:hint="eastAsia"/>
                <w:sz w:val="21"/>
                <w:szCs w:val="21"/>
              </w:rPr>
              <w:t>大埔三河坝</w:t>
            </w:r>
          </w:p>
        </w:tc>
        <w:tc>
          <w:tcPr>
            <w:tcW w:w="690" w:type="dxa"/>
            <w:vAlign w:val="center"/>
          </w:tcPr>
          <w:p w:rsidR="005E49F7" w:rsidRDefault="005E49F7">
            <w:pPr>
              <w:spacing w:line="240" w:lineRule="auto"/>
              <w:jc w:val="center"/>
              <w:rPr>
                <w:rStyle w:val="110"/>
              </w:rPr>
            </w:pPr>
            <w:r>
              <w:rPr>
                <w:rStyle w:val="110"/>
              </w:rPr>
              <w:t>43</w:t>
            </w:r>
          </w:p>
        </w:tc>
        <w:tc>
          <w:tcPr>
            <w:tcW w:w="1215" w:type="dxa"/>
            <w:vAlign w:val="center"/>
          </w:tcPr>
          <w:p w:rsidR="005E49F7" w:rsidRDefault="005E49F7">
            <w:pPr>
              <w:spacing w:line="240" w:lineRule="auto"/>
              <w:jc w:val="center"/>
              <w:rPr>
                <w:rStyle w:val="110"/>
              </w:rPr>
            </w:pPr>
            <w:r>
              <w:rPr>
                <w:rStyle w:val="110"/>
                <w:rFonts w:cs="宋体" w:hint="eastAsia"/>
              </w:rPr>
              <w:t>Ⅱ</w:t>
            </w:r>
          </w:p>
        </w:tc>
        <w:tc>
          <w:tcPr>
            <w:tcW w:w="1320" w:type="dxa"/>
            <w:vAlign w:val="center"/>
          </w:tcPr>
          <w:p w:rsidR="005E49F7" w:rsidRDefault="005E49F7">
            <w:pPr>
              <w:jc w:val="center"/>
              <w:rPr>
                <w:rStyle w:val="110"/>
              </w:rPr>
            </w:pPr>
            <w:r>
              <w:rPr>
                <w:rFonts w:ascii="宋体" w:hAnsi="宋体" w:cs="宋体" w:hint="eastAsia"/>
                <w:sz w:val="21"/>
                <w:szCs w:val="21"/>
              </w:rPr>
              <w:t>Ⅱ</w:t>
            </w:r>
          </w:p>
        </w:tc>
        <w:tc>
          <w:tcPr>
            <w:tcW w:w="790" w:type="dxa"/>
            <w:vAlign w:val="center"/>
          </w:tcPr>
          <w:p w:rsidR="005E49F7" w:rsidRDefault="005E49F7">
            <w:pPr>
              <w:spacing w:line="240" w:lineRule="auto"/>
              <w:jc w:val="center"/>
              <w:rPr>
                <w:rStyle w:val="110"/>
              </w:rPr>
            </w:pPr>
          </w:p>
        </w:tc>
      </w:tr>
      <w:tr w:rsidR="005E49F7">
        <w:trPr>
          <w:trHeight w:val="397"/>
        </w:trPr>
        <w:tc>
          <w:tcPr>
            <w:tcW w:w="790" w:type="dxa"/>
            <w:vAlign w:val="center"/>
          </w:tcPr>
          <w:p w:rsidR="005E49F7" w:rsidRDefault="005E49F7">
            <w:pPr>
              <w:jc w:val="center"/>
              <w:rPr>
                <w:rStyle w:val="110"/>
              </w:rPr>
            </w:pPr>
            <w:r>
              <w:rPr>
                <w:rFonts w:ascii="宋体" w:hAnsi="宋体" w:cs="宋体"/>
                <w:sz w:val="21"/>
                <w:szCs w:val="21"/>
              </w:rPr>
              <w:t>8</w:t>
            </w:r>
          </w:p>
        </w:tc>
        <w:tc>
          <w:tcPr>
            <w:tcW w:w="1125" w:type="dxa"/>
            <w:vAlign w:val="center"/>
          </w:tcPr>
          <w:p w:rsidR="005E49F7" w:rsidRDefault="005E49F7">
            <w:pPr>
              <w:jc w:val="center"/>
              <w:rPr>
                <w:rStyle w:val="110"/>
              </w:rPr>
            </w:pPr>
            <w:r>
              <w:rPr>
                <w:rFonts w:ascii="宋体" w:hAnsi="宋体" w:cs="宋体" w:hint="eastAsia"/>
                <w:sz w:val="21"/>
                <w:szCs w:val="21"/>
              </w:rPr>
              <w:t>韩江干流</w:t>
            </w:r>
          </w:p>
        </w:tc>
        <w:tc>
          <w:tcPr>
            <w:tcW w:w="2790" w:type="dxa"/>
            <w:vAlign w:val="center"/>
          </w:tcPr>
          <w:p w:rsidR="005E49F7" w:rsidRDefault="005E49F7">
            <w:pPr>
              <w:jc w:val="center"/>
              <w:rPr>
                <w:rStyle w:val="110"/>
              </w:rPr>
            </w:pPr>
            <w:r>
              <w:rPr>
                <w:rFonts w:ascii="宋体" w:hAnsi="宋体" w:cs="宋体" w:hint="eastAsia"/>
                <w:sz w:val="21"/>
                <w:szCs w:val="21"/>
              </w:rPr>
              <w:t>三河镇</w:t>
            </w:r>
            <w:r>
              <w:rPr>
                <w:rFonts w:ascii="宋体" w:hAnsi="宋体" w:cs="宋体"/>
                <w:sz w:val="21"/>
                <w:szCs w:val="21"/>
              </w:rPr>
              <w:t>—</w:t>
            </w:r>
            <w:r>
              <w:rPr>
                <w:rFonts w:ascii="宋体" w:hAnsi="宋体" w:cs="宋体" w:hint="eastAsia"/>
                <w:sz w:val="21"/>
                <w:szCs w:val="21"/>
              </w:rPr>
              <w:t>银江口（北铺）</w:t>
            </w:r>
          </w:p>
        </w:tc>
        <w:tc>
          <w:tcPr>
            <w:tcW w:w="690" w:type="dxa"/>
            <w:vAlign w:val="center"/>
          </w:tcPr>
          <w:p w:rsidR="005E49F7" w:rsidRDefault="005E49F7">
            <w:pPr>
              <w:spacing w:line="240" w:lineRule="auto"/>
              <w:jc w:val="center"/>
              <w:rPr>
                <w:rStyle w:val="110"/>
              </w:rPr>
            </w:pPr>
            <w:r>
              <w:rPr>
                <w:rStyle w:val="110"/>
              </w:rPr>
              <w:t>17</w:t>
            </w:r>
          </w:p>
        </w:tc>
        <w:tc>
          <w:tcPr>
            <w:tcW w:w="1215" w:type="dxa"/>
            <w:vAlign w:val="center"/>
          </w:tcPr>
          <w:p w:rsidR="005E49F7" w:rsidRDefault="005E49F7">
            <w:pPr>
              <w:spacing w:line="240" w:lineRule="auto"/>
              <w:jc w:val="center"/>
              <w:rPr>
                <w:rStyle w:val="110"/>
              </w:rPr>
            </w:pPr>
            <w:r>
              <w:rPr>
                <w:rFonts w:ascii="宋体" w:hAnsi="宋体" w:cs="宋体" w:hint="eastAsia"/>
                <w:sz w:val="21"/>
                <w:szCs w:val="21"/>
              </w:rPr>
              <w:t>Ⅲ</w:t>
            </w:r>
          </w:p>
        </w:tc>
        <w:tc>
          <w:tcPr>
            <w:tcW w:w="1320" w:type="dxa"/>
            <w:vAlign w:val="center"/>
          </w:tcPr>
          <w:p w:rsidR="005E49F7" w:rsidRDefault="005E49F7">
            <w:pPr>
              <w:jc w:val="center"/>
              <w:rPr>
                <w:rStyle w:val="110"/>
              </w:rPr>
            </w:pPr>
            <w:r>
              <w:rPr>
                <w:rFonts w:ascii="宋体" w:hAnsi="宋体" w:cs="宋体" w:hint="eastAsia"/>
                <w:sz w:val="21"/>
                <w:szCs w:val="21"/>
              </w:rPr>
              <w:t>Ⅲ</w:t>
            </w:r>
          </w:p>
        </w:tc>
        <w:tc>
          <w:tcPr>
            <w:tcW w:w="790" w:type="dxa"/>
            <w:vAlign w:val="center"/>
          </w:tcPr>
          <w:p w:rsidR="005E49F7" w:rsidRDefault="005E49F7">
            <w:pPr>
              <w:spacing w:line="240" w:lineRule="auto"/>
              <w:jc w:val="center"/>
              <w:rPr>
                <w:rStyle w:val="110"/>
              </w:rPr>
            </w:pPr>
          </w:p>
        </w:tc>
      </w:tr>
      <w:tr w:rsidR="005E49F7">
        <w:trPr>
          <w:trHeight w:val="397"/>
        </w:trPr>
        <w:tc>
          <w:tcPr>
            <w:tcW w:w="790" w:type="dxa"/>
            <w:vAlign w:val="center"/>
          </w:tcPr>
          <w:p w:rsidR="005E49F7" w:rsidRDefault="005E49F7">
            <w:pPr>
              <w:jc w:val="center"/>
              <w:rPr>
                <w:rStyle w:val="110"/>
              </w:rPr>
            </w:pPr>
            <w:r>
              <w:rPr>
                <w:rFonts w:ascii="宋体" w:hAnsi="宋体" w:cs="宋体"/>
                <w:sz w:val="21"/>
                <w:szCs w:val="21"/>
              </w:rPr>
              <w:t>9</w:t>
            </w:r>
          </w:p>
        </w:tc>
        <w:tc>
          <w:tcPr>
            <w:tcW w:w="1125" w:type="dxa"/>
            <w:vAlign w:val="center"/>
          </w:tcPr>
          <w:p w:rsidR="005E49F7" w:rsidRDefault="005E49F7">
            <w:pPr>
              <w:jc w:val="center"/>
              <w:rPr>
                <w:rStyle w:val="110"/>
              </w:rPr>
            </w:pPr>
            <w:r>
              <w:rPr>
                <w:rFonts w:ascii="宋体" w:hAnsi="宋体" w:cs="宋体" w:hint="eastAsia"/>
                <w:sz w:val="21"/>
                <w:szCs w:val="21"/>
              </w:rPr>
              <w:t>韩江干流</w:t>
            </w:r>
          </w:p>
        </w:tc>
        <w:tc>
          <w:tcPr>
            <w:tcW w:w="2790" w:type="dxa"/>
            <w:vAlign w:val="center"/>
          </w:tcPr>
          <w:p w:rsidR="005E49F7" w:rsidRDefault="005E49F7">
            <w:pPr>
              <w:jc w:val="center"/>
              <w:rPr>
                <w:rStyle w:val="110"/>
              </w:rPr>
            </w:pPr>
            <w:r>
              <w:rPr>
                <w:rFonts w:ascii="宋体" w:hAnsi="宋体" w:cs="宋体" w:hint="eastAsia"/>
                <w:sz w:val="21"/>
                <w:szCs w:val="21"/>
              </w:rPr>
              <w:t>银江口（北铺）</w:t>
            </w:r>
            <w:r>
              <w:rPr>
                <w:rFonts w:ascii="宋体" w:cs="宋体"/>
                <w:sz w:val="21"/>
                <w:szCs w:val="21"/>
              </w:rPr>
              <w:t>--</w:t>
            </w:r>
            <w:r>
              <w:rPr>
                <w:rFonts w:ascii="宋体" w:hAnsi="宋体" w:cs="宋体" w:hint="eastAsia"/>
                <w:sz w:val="21"/>
                <w:szCs w:val="21"/>
              </w:rPr>
              <w:t>丰顺县潮州市交界处</w:t>
            </w:r>
          </w:p>
        </w:tc>
        <w:tc>
          <w:tcPr>
            <w:tcW w:w="690" w:type="dxa"/>
            <w:vAlign w:val="center"/>
          </w:tcPr>
          <w:p w:rsidR="005E49F7" w:rsidRDefault="005E49F7">
            <w:pPr>
              <w:spacing w:line="240" w:lineRule="auto"/>
              <w:jc w:val="center"/>
              <w:rPr>
                <w:rStyle w:val="110"/>
              </w:rPr>
            </w:pPr>
            <w:r>
              <w:rPr>
                <w:rStyle w:val="110"/>
              </w:rPr>
              <w:t>69.3</w:t>
            </w:r>
          </w:p>
        </w:tc>
        <w:tc>
          <w:tcPr>
            <w:tcW w:w="1215" w:type="dxa"/>
            <w:vAlign w:val="center"/>
          </w:tcPr>
          <w:p w:rsidR="005E49F7" w:rsidRDefault="005E49F7">
            <w:pPr>
              <w:jc w:val="center"/>
              <w:rPr>
                <w:rStyle w:val="110"/>
              </w:rPr>
            </w:pPr>
            <w:r>
              <w:rPr>
                <w:rFonts w:ascii="宋体" w:hAnsi="宋体" w:cs="宋体" w:hint="eastAsia"/>
                <w:sz w:val="21"/>
                <w:szCs w:val="21"/>
              </w:rPr>
              <w:t>Ⅱ</w:t>
            </w:r>
          </w:p>
        </w:tc>
        <w:tc>
          <w:tcPr>
            <w:tcW w:w="1320" w:type="dxa"/>
            <w:vAlign w:val="center"/>
          </w:tcPr>
          <w:p w:rsidR="005E49F7" w:rsidRDefault="005E49F7">
            <w:pPr>
              <w:jc w:val="center"/>
              <w:rPr>
                <w:rStyle w:val="110"/>
              </w:rPr>
            </w:pPr>
            <w:r>
              <w:rPr>
                <w:rFonts w:ascii="宋体" w:hAnsi="宋体" w:cs="宋体" w:hint="eastAsia"/>
                <w:sz w:val="21"/>
                <w:szCs w:val="21"/>
              </w:rPr>
              <w:t>Ⅱ</w:t>
            </w:r>
          </w:p>
        </w:tc>
        <w:tc>
          <w:tcPr>
            <w:tcW w:w="790" w:type="dxa"/>
            <w:vAlign w:val="center"/>
          </w:tcPr>
          <w:p w:rsidR="005E49F7" w:rsidRDefault="005E49F7">
            <w:pPr>
              <w:spacing w:line="240" w:lineRule="auto"/>
              <w:jc w:val="center"/>
              <w:rPr>
                <w:rStyle w:val="110"/>
              </w:rPr>
            </w:pPr>
          </w:p>
        </w:tc>
      </w:tr>
    </w:tbl>
    <w:p w:rsidR="005E49F7" w:rsidRDefault="005E49F7">
      <w:pPr>
        <w:pStyle w:val="Heading5"/>
        <w:spacing w:before="120"/>
      </w:pPr>
    </w:p>
    <w:p w:rsidR="005E49F7" w:rsidRDefault="005E49F7">
      <w:pPr>
        <w:pStyle w:val="Heading5"/>
        <w:spacing w:before="120"/>
      </w:pPr>
      <w:r>
        <w:rPr>
          <w:rFonts w:cs="黑体" w:hint="eastAsia"/>
        </w:rPr>
        <w:t>表</w:t>
      </w:r>
      <w:r>
        <w:t xml:space="preserve">3.2-3  </w:t>
      </w:r>
      <w:r>
        <w:rPr>
          <w:rFonts w:cs="黑体" w:hint="eastAsia"/>
        </w:rPr>
        <w:t>规划涉及的饮用水源保护区名称及范围</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7"/>
        <w:gridCol w:w="677"/>
        <w:gridCol w:w="3633"/>
        <w:gridCol w:w="3717"/>
      </w:tblGrid>
      <w:tr w:rsidR="005E49F7">
        <w:trPr>
          <w:trHeight w:val="397"/>
          <w:tblHeader/>
          <w:jc w:val="center"/>
        </w:trPr>
        <w:tc>
          <w:tcPr>
            <w:tcW w:w="677" w:type="dxa"/>
            <w:vAlign w:val="center"/>
          </w:tcPr>
          <w:p w:rsidR="005E49F7" w:rsidRDefault="005E49F7">
            <w:pPr>
              <w:spacing w:line="240" w:lineRule="auto"/>
              <w:jc w:val="center"/>
              <w:rPr>
                <w:rFonts w:ascii="宋体"/>
                <w:b/>
                <w:bCs/>
                <w:sz w:val="21"/>
                <w:szCs w:val="21"/>
              </w:rPr>
            </w:pPr>
            <w:bookmarkStart w:id="39" w:name="_Toc313490747"/>
            <w:bookmarkStart w:id="40" w:name="_Toc313490899"/>
            <w:r>
              <w:rPr>
                <w:rFonts w:ascii="宋体" w:hAnsi="宋体" w:cs="宋体" w:hint="eastAsia"/>
                <w:b/>
                <w:bCs/>
                <w:sz w:val="21"/>
                <w:szCs w:val="21"/>
              </w:rPr>
              <w:t>名称</w:t>
            </w:r>
          </w:p>
        </w:tc>
        <w:tc>
          <w:tcPr>
            <w:tcW w:w="677" w:type="dxa"/>
            <w:vAlign w:val="center"/>
          </w:tcPr>
          <w:p w:rsidR="005E49F7" w:rsidRDefault="005E49F7">
            <w:pPr>
              <w:spacing w:line="240" w:lineRule="auto"/>
              <w:jc w:val="center"/>
              <w:rPr>
                <w:rFonts w:ascii="宋体"/>
                <w:b/>
                <w:bCs/>
                <w:sz w:val="21"/>
                <w:szCs w:val="21"/>
              </w:rPr>
            </w:pPr>
            <w:r>
              <w:rPr>
                <w:rFonts w:ascii="宋体" w:hAnsi="宋体" w:cs="宋体" w:hint="eastAsia"/>
                <w:b/>
                <w:bCs/>
                <w:sz w:val="21"/>
                <w:szCs w:val="21"/>
              </w:rPr>
              <w:t>级别</w:t>
            </w:r>
          </w:p>
        </w:tc>
        <w:tc>
          <w:tcPr>
            <w:tcW w:w="3633" w:type="dxa"/>
            <w:vAlign w:val="center"/>
          </w:tcPr>
          <w:p w:rsidR="005E49F7" w:rsidRDefault="005E49F7">
            <w:pPr>
              <w:spacing w:line="240" w:lineRule="auto"/>
              <w:jc w:val="center"/>
              <w:rPr>
                <w:rFonts w:ascii="宋体"/>
                <w:b/>
                <w:bCs/>
                <w:sz w:val="21"/>
                <w:szCs w:val="21"/>
              </w:rPr>
            </w:pPr>
            <w:r>
              <w:rPr>
                <w:rFonts w:ascii="宋体" w:hAnsi="宋体" w:cs="宋体" w:hint="eastAsia"/>
                <w:b/>
                <w:bCs/>
                <w:sz w:val="21"/>
                <w:szCs w:val="21"/>
              </w:rPr>
              <w:t>水域保护区范围与保护目标</w:t>
            </w:r>
          </w:p>
        </w:tc>
        <w:tc>
          <w:tcPr>
            <w:tcW w:w="3717" w:type="dxa"/>
            <w:vAlign w:val="center"/>
          </w:tcPr>
          <w:p w:rsidR="005E49F7" w:rsidRDefault="005E49F7">
            <w:pPr>
              <w:spacing w:line="240" w:lineRule="auto"/>
              <w:jc w:val="center"/>
              <w:rPr>
                <w:rFonts w:ascii="宋体"/>
                <w:b/>
                <w:bCs/>
                <w:sz w:val="21"/>
                <w:szCs w:val="21"/>
              </w:rPr>
            </w:pPr>
            <w:r>
              <w:rPr>
                <w:rFonts w:ascii="宋体" w:hAnsi="宋体" w:cs="宋体" w:hint="eastAsia"/>
                <w:b/>
                <w:bCs/>
                <w:sz w:val="21"/>
                <w:szCs w:val="21"/>
              </w:rPr>
              <w:t>陆地保护范围</w:t>
            </w:r>
          </w:p>
        </w:tc>
      </w:tr>
      <w:tr w:rsidR="005E49F7">
        <w:trPr>
          <w:trHeight w:val="397"/>
          <w:jc w:val="center"/>
        </w:trPr>
        <w:tc>
          <w:tcPr>
            <w:tcW w:w="677" w:type="dxa"/>
            <w:vMerge w:val="restart"/>
            <w:vAlign w:val="center"/>
          </w:tcPr>
          <w:p w:rsidR="005E49F7" w:rsidRDefault="005E49F7">
            <w:pPr>
              <w:spacing w:after="156" w:line="240" w:lineRule="auto"/>
              <w:rPr>
                <w:rFonts w:ascii="宋体"/>
                <w:sz w:val="21"/>
                <w:szCs w:val="21"/>
              </w:rPr>
            </w:pPr>
            <w:r>
              <w:rPr>
                <w:rFonts w:ascii="宋体" w:hAnsi="宋体" w:cs="宋体" w:hint="eastAsia"/>
                <w:sz w:val="21"/>
                <w:szCs w:val="21"/>
              </w:rPr>
              <w:t>梅州市区饮用水源保护区</w:t>
            </w:r>
          </w:p>
        </w:tc>
        <w:tc>
          <w:tcPr>
            <w:tcW w:w="677" w:type="dxa"/>
            <w:vAlign w:val="center"/>
          </w:tcPr>
          <w:p w:rsidR="005E49F7" w:rsidRDefault="005E49F7">
            <w:pPr>
              <w:spacing w:after="156" w:line="240" w:lineRule="auto"/>
              <w:jc w:val="center"/>
              <w:rPr>
                <w:rFonts w:ascii="宋体"/>
                <w:sz w:val="21"/>
                <w:szCs w:val="21"/>
              </w:rPr>
            </w:pPr>
            <w:r>
              <w:rPr>
                <w:rFonts w:ascii="宋体" w:hAnsi="宋体" w:cs="宋体" w:hint="eastAsia"/>
                <w:sz w:val="21"/>
                <w:szCs w:val="21"/>
              </w:rPr>
              <w:t>一级保护区</w:t>
            </w:r>
          </w:p>
        </w:tc>
        <w:tc>
          <w:tcPr>
            <w:tcW w:w="3633" w:type="dxa"/>
            <w:vAlign w:val="center"/>
          </w:tcPr>
          <w:p w:rsidR="005E49F7" w:rsidRDefault="005E49F7" w:rsidP="005E49F7">
            <w:pPr>
              <w:spacing w:line="240" w:lineRule="auto"/>
              <w:ind w:firstLineChars="200" w:firstLine="31680"/>
              <w:rPr>
                <w:rFonts w:ascii="宋体"/>
                <w:sz w:val="21"/>
                <w:szCs w:val="21"/>
              </w:rPr>
            </w:pPr>
            <w:r>
              <w:rPr>
                <w:rFonts w:ascii="宋体" w:hAnsi="宋体" w:cs="宋体" w:hint="eastAsia"/>
                <w:sz w:val="21"/>
                <w:szCs w:val="21"/>
              </w:rPr>
              <w:t>梅州大桥至嘉应大桥约</w:t>
            </w:r>
            <w:r>
              <w:rPr>
                <w:rFonts w:ascii="宋体" w:hAnsi="宋体" w:cs="宋体"/>
                <w:sz w:val="21"/>
                <w:szCs w:val="21"/>
              </w:rPr>
              <w:t>2.2</w:t>
            </w:r>
            <w:r>
              <w:rPr>
                <w:rFonts w:ascii="宋体" w:hAnsi="宋体" w:cs="宋体" w:hint="eastAsia"/>
                <w:sz w:val="21"/>
                <w:szCs w:val="21"/>
              </w:rPr>
              <w:t>公里的河段，自两岸防洪大堤临江一侧坡顶护栏边缘向江心纵深</w:t>
            </w:r>
            <w:r>
              <w:rPr>
                <w:rFonts w:ascii="宋体" w:hAnsi="宋体" w:cs="宋体"/>
                <w:sz w:val="21"/>
                <w:szCs w:val="21"/>
              </w:rPr>
              <w:t>150</w:t>
            </w:r>
            <w:r>
              <w:rPr>
                <w:rFonts w:ascii="宋体" w:hAnsi="宋体" w:cs="宋体" w:hint="eastAsia"/>
                <w:sz w:val="21"/>
                <w:szCs w:val="21"/>
              </w:rPr>
              <w:t>米的水域。水质保护目标为Ⅱ类。</w:t>
            </w:r>
          </w:p>
        </w:tc>
        <w:tc>
          <w:tcPr>
            <w:tcW w:w="3717" w:type="dxa"/>
            <w:vAlign w:val="center"/>
          </w:tcPr>
          <w:p w:rsidR="005E49F7" w:rsidRDefault="005E49F7" w:rsidP="005E49F7">
            <w:pPr>
              <w:spacing w:line="240" w:lineRule="auto"/>
              <w:ind w:firstLineChars="200" w:firstLine="31680"/>
              <w:rPr>
                <w:rFonts w:ascii="宋体"/>
                <w:sz w:val="21"/>
                <w:szCs w:val="21"/>
              </w:rPr>
            </w:pPr>
            <w:r>
              <w:rPr>
                <w:rFonts w:ascii="宋体" w:hAnsi="宋体" w:cs="宋体" w:hint="eastAsia"/>
                <w:sz w:val="21"/>
                <w:szCs w:val="21"/>
              </w:rPr>
              <w:t>相应一级保护区水域两岸防洪大堤临江一侧坡顶护栏边缘向陆纵深</w:t>
            </w:r>
            <w:r>
              <w:rPr>
                <w:rFonts w:ascii="宋体" w:hAnsi="宋体" w:cs="宋体"/>
                <w:sz w:val="21"/>
                <w:szCs w:val="21"/>
              </w:rPr>
              <w:t>5</w:t>
            </w:r>
            <w:r>
              <w:rPr>
                <w:rFonts w:ascii="宋体" w:hAnsi="宋体" w:cs="宋体" w:hint="eastAsia"/>
                <w:sz w:val="21"/>
                <w:szCs w:val="21"/>
              </w:rPr>
              <w:t>米（即至该侧绿化带与机动车道分界线）的陆域范围。</w:t>
            </w:r>
          </w:p>
        </w:tc>
      </w:tr>
      <w:tr w:rsidR="005E49F7">
        <w:trPr>
          <w:trHeight w:val="397"/>
          <w:jc w:val="center"/>
        </w:trPr>
        <w:tc>
          <w:tcPr>
            <w:tcW w:w="677" w:type="dxa"/>
            <w:vMerge/>
            <w:vAlign w:val="center"/>
          </w:tcPr>
          <w:p w:rsidR="005E49F7" w:rsidRDefault="005E49F7">
            <w:pPr>
              <w:spacing w:after="156" w:line="240" w:lineRule="auto"/>
              <w:jc w:val="center"/>
              <w:rPr>
                <w:rFonts w:ascii="宋体"/>
                <w:sz w:val="21"/>
                <w:szCs w:val="21"/>
              </w:rPr>
            </w:pPr>
          </w:p>
        </w:tc>
        <w:tc>
          <w:tcPr>
            <w:tcW w:w="677" w:type="dxa"/>
            <w:vAlign w:val="center"/>
          </w:tcPr>
          <w:p w:rsidR="005E49F7" w:rsidRDefault="005E49F7">
            <w:pPr>
              <w:spacing w:after="156" w:line="240" w:lineRule="auto"/>
              <w:jc w:val="center"/>
              <w:rPr>
                <w:rFonts w:ascii="宋体"/>
                <w:sz w:val="21"/>
                <w:szCs w:val="21"/>
              </w:rPr>
            </w:pPr>
            <w:r>
              <w:rPr>
                <w:rFonts w:ascii="宋体" w:hAnsi="宋体" w:cs="宋体" w:hint="eastAsia"/>
                <w:sz w:val="21"/>
                <w:szCs w:val="21"/>
              </w:rPr>
              <w:t>二级保护区</w:t>
            </w:r>
          </w:p>
        </w:tc>
        <w:tc>
          <w:tcPr>
            <w:tcW w:w="3633" w:type="dxa"/>
            <w:vAlign w:val="center"/>
          </w:tcPr>
          <w:p w:rsidR="005E49F7" w:rsidRDefault="005E49F7" w:rsidP="005E49F7">
            <w:pPr>
              <w:spacing w:line="240" w:lineRule="auto"/>
              <w:ind w:firstLineChars="200" w:firstLine="31680"/>
              <w:rPr>
                <w:rFonts w:ascii="宋体"/>
                <w:sz w:val="21"/>
                <w:szCs w:val="21"/>
              </w:rPr>
            </w:pPr>
            <w:r>
              <w:rPr>
                <w:rFonts w:ascii="宋体" w:hAnsi="宋体" w:cs="宋体" w:hint="eastAsia"/>
                <w:sz w:val="21"/>
                <w:szCs w:val="21"/>
              </w:rPr>
              <w:t>梅江长沙镇水质自动监测站监测断面至程江与梅江汇合口约</w:t>
            </w:r>
            <w:r>
              <w:rPr>
                <w:rFonts w:ascii="宋体" w:hAnsi="宋体" w:cs="宋体"/>
                <w:sz w:val="21"/>
                <w:szCs w:val="21"/>
              </w:rPr>
              <w:t>12.3</w:t>
            </w:r>
            <w:r>
              <w:rPr>
                <w:rFonts w:ascii="宋体" w:hAnsi="宋体" w:cs="宋体" w:hint="eastAsia"/>
                <w:sz w:val="21"/>
                <w:szCs w:val="21"/>
              </w:rPr>
              <w:t>公里的河段，两岸防洪大堤临江一侧坡顶护栏边缘（无防洪大堤的河段则为两岸</w:t>
            </w:r>
            <w:r>
              <w:rPr>
                <w:rFonts w:ascii="宋体" w:hAnsi="宋体" w:cs="宋体"/>
                <w:sz w:val="21"/>
                <w:szCs w:val="21"/>
              </w:rPr>
              <w:t>10</w:t>
            </w:r>
            <w:r>
              <w:rPr>
                <w:rFonts w:ascii="宋体" w:hAnsi="宋体" w:cs="宋体" w:hint="eastAsia"/>
                <w:sz w:val="21"/>
                <w:szCs w:val="21"/>
              </w:rPr>
              <w:t>年一遇洪水线）之间的区域（一级保护区水域范围除外）。水质保护目标为Ⅱ类。</w:t>
            </w:r>
          </w:p>
        </w:tc>
        <w:tc>
          <w:tcPr>
            <w:tcW w:w="3717" w:type="dxa"/>
            <w:vAlign w:val="center"/>
          </w:tcPr>
          <w:p w:rsidR="005E49F7" w:rsidRDefault="005E49F7" w:rsidP="005E49F7">
            <w:pPr>
              <w:spacing w:line="240" w:lineRule="auto"/>
              <w:ind w:firstLineChars="200" w:firstLine="31680"/>
              <w:rPr>
                <w:rFonts w:ascii="宋体"/>
                <w:sz w:val="21"/>
                <w:szCs w:val="21"/>
              </w:rPr>
            </w:pPr>
            <w:r>
              <w:rPr>
                <w:rFonts w:ascii="宋体" w:hAnsi="宋体" w:cs="宋体" w:hint="eastAsia"/>
                <w:sz w:val="21"/>
                <w:szCs w:val="21"/>
              </w:rPr>
              <w:t>左岸陆域范围：长沙镇水质自动监测站对岸处至程江镇沟湖村，二级保护区水域边界线向陆纵深</w:t>
            </w:r>
            <w:r>
              <w:rPr>
                <w:rFonts w:ascii="宋体" w:hAnsi="宋体" w:cs="宋体"/>
                <w:sz w:val="21"/>
                <w:szCs w:val="21"/>
              </w:rPr>
              <w:t>2</w:t>
            </w:r>
            <w:r>
              <w:rPr>
                <w:rFonts w:ascii="宋体" w:hAnsi="宋体" w:cs="宋体" w:hint="eastAsia"/>
                <w:sz w:val="21"/>
                <w:szCs w:val="21"/>
              </w:rPr>
              <w:t>公里的陆域（如遇山脊线则以山脊线为界）；沟湖村至程江与梅江汇合口，一、二级保护区水域边界线向陆纵深</w:t>
            </w:r>
            <w:r>
              <w:rPr>
                <w:rFonts w:ascii="宋体" w:hAnsi="宋体" w:cs="宋体"/>
                <w:sz w:val="21"/>
                <w:szCs w:val="21"/>
              </w:rPr>
              <w:t>100</w:t>
            </w:r>
            <w:r>
              <w:rPr>
                <w:rFonts w:ascii="宋体" w:hAnsi="宋体" w:cs="宋体" w:hint="eastAsia"/>
                <w:sz w:val="21"/>
                <w:szCs w:val="21"/>
              </w:rPr>
              <w:t>米的陆域（一级保护区陆域范围除外）。</w:t>
            </w:r>
          </w:p>
          <w:p w:rsidR="005E49F7" w:rsidRDefault="005E49F7" w:rsidP="005E49F7">
            <w:pPr>
              <w:spacing w:line="240" w:lineRule="auto"/>
              <w:ind w:firstLineChars="200" w:firstLine="31680"/>
              <w:rPr>
                <w:rFonts w:ascii="宋体"/>
                <w:sz w:val="21"/>
                <w:szCs w:val="21"/>
              </w:rPr>
            </w:pPr>
            <w:r>
              <w:rPr>
                <w:rFonts w:ascii="宋体" w:hAnsi="宋体" w:cs="宋体" w:hint="eastAsia"/>
                <w:sz w:val="21"/>
                <w:szCs w:val="21"/>
              </w:rPr>
              <w:t>右岸陆域范围：长沙镇水质自动监测站至三角镇白鹤宫村，二级保护区水域边界线向陆纵深</w:t>
            </w:r>
            <w:r>
              <w:rPr>
                <w:rFonts w:ascii="宋体" w:hAnsi="宋体" w:cs="宋体"/>
                <w:sz w:val="21"/>
                <w:szCs w:val="21"/>
              </w:rPr>
              <w:t>2</w:t>
            </w:r>
            <w:r>
              <w:rPr>
                <w:rFonts w:ascii="宋体" w:hAnsi="宋体" w:cs="宋体" w:hint="eastAsia"/>
                <w:sz w:val="21"/>
                <w:szCs w:val="21"/>
              </w:rPr>
              <w:t>公里的陆域（如遇山脊线则以山脊线为界，包括小密水库）；白鹤宫村至程江与梅江汇合口对岸，一、二级保护区水域边界线向陆纵深</w:t>
            </w:r>
            <w:r>
              <w:rPr>
                <w:rFonts w:ascii="宋体" w:hAnsi="宋体" w:cs="宋体"/>
                <w:sz w:val="21"/>
                <w:szCs w:val="21"/>
              </w:rPr>
              <w:t>100</w:t>
            </w:r>
            <w:r>
              <w:rPr>
                <w:rFonts w:ascii="宋体" w:hAnsi="宋体" w:cs="宋体" w:hint="eastAsia"/>
                <w:sz w:val="21"/>
                <w:szCs w:val="21"/>
              </w:rPr>
              <w:t>米的陆域（一级保护区陆域范围除外）。</w:t>
            </w:r>
          </w:p>
        </w:tc>
      </w:tr>
      <w:tr w:rsidR="005E49F7">
        <w:trPr>
          <w:trHeight w:val="397"/>
          <w:jc w:val="center"/>
        </w:trPr>
        <w:tc>
          <w:tcPr>
            <w:tcW w:w="677" w:type="dxa"/>
            <w:vAlign w:val="center"/>
          </w:tcPr>
          <w:p w:rsidR="005E49F7" w:rsidRDefault="005E49F7">
            <w:pPr>
              <w:spacing w:after="156" w:line="240" w:lineRule="auto"/>
              <w:jc w:val="center"/>
              <w:rPr>
                <w:rFonts w:ascii="宋体"/>
                <w:sz w:val="21"/>
                <w:szCs w:val="21"/>
              </w:rPr>
            </w:pPr>
          </w:p>
        </w:tc>
        <w:tc>
          <w:tcPr>
            <w:tcW w:w="677" w:type="dxa"/>
            <w:vAlign w:val="center"/>
          </w:tcPr>
          <w:p w:rsidR="005E49F7" w:rsidRDefault="005E49F7">
            <w:pPr>
              <w:spacing w:after="156" w:line="240" w:lineRule="auto"/>
              <w:jc w:val="center"/>
              <w:rPr>
                <w:rFonts w:ascii="宋体"/>
                <w:sz w:val="21"/>
                <w:szCs w:val="21"/>
              </w:rPr>
            </w:pPr>
            <w:r>
              <w:rPr>
                <w:rFonts w:ascii="宋体" w:hAnsi="宋体" w:cs="宋体" w:hint="eastAsia"/>
                <w:sz w:val="21"/>
                <w:szCs w:val="21"/>
              </w:rPr>
              <w:t>准保护区</w:t>
            </w:r>
          </w:p>
        </w:tc>
        <w:tc>
          <w:tcPr>
            <w:tcW w:w="3633" w:type="dxa"/>
            <w:vAlign w:val="center"/>
          </w:tcPr>
          <w:p w:rsidR="005E49F7" w:rsidRDefault="005E49F7" w:rsidP="005E49F7">
            <w:pPr>
              <w:spacing w:line="240" w:lineRule="auto"/>
              <w:ind w:firstLineChars="200" w:firstLine="31680"/>
              <w:rPr>
                <w:rFonts w:ascii="宋体"/>
                <w:sz w:val="21"/>
                <w:szCs w:val="21"/>
              </w:rPr>
            </w:pPr>
            <w:r>
              <w:rPr>
                <w:rFonts w:ascii="宋体" w:hAnsi="宋体" w:cs="宋体" w:hint="eastAsia"/>
                <w:sz w:val="21"/>
                <w:szCs w:val="21"/>
              </w:rPr>
              <w:t>梅江梅南镇梅长大桥至长沙镇水质自动监测站监测断面约</w:t>
            </w:r>
            <w:r>
              <w:rPr>
                <w:rFonts w:ascii="宋体" w:hAnsi="宋体" w:cs="宋体"/>
                <w:sz w:val="21"/>
                <w:szCs w:val="21"/>
              </w:rPr>
              <w:t>7</w:t>
            </w:r>
            <w:r>
              <w:rPr>
                <w:rFonts w:ascii="宋体" w:hAnsi="宋体" w:cs="宋体" w:hint="eastAsia"/>
                <w:sz w:val="21"/>
                <w:szCs w:val="21"/>
              </w:rPr>
              <w:t>公里河段，两岸</w:t>
            </w:r>
            <w:r>
              <w:rPr>
                <w:rFonts w:ascii="宋体" w:hAnsi="宋体" w:cs="宋体"/>
                <w:sz w:val="21"/>
                <w:szCs w:val="21"/>
              </w:rPr>
              <w:t>10</w:t>
            </w:r>
            <w:r>
              <w:rPr>
                <w:rFonts w:ascii="宋体" w:hAnsi="宋体" w:cs="宋体" w:hint="eastAsia"/>
                <w:sz w:val="21"/>
                <w:szCs w:val="21"/>
              </w:rPr>
              <w:t>年一遇洪水所能淹没的区域。水质保护目标为Ⅱ类。</w:t>
            </w:r>
          </w:p>
        </w:tc>
        <w:tc>
          <w:tcPr>
            <w:tcW w:w="3717" w:type="dxa"/>
            <w:vAlign w:val="center"/>
          </w:tcPr>
          <w:p w:rsidR="005E49F7" w:rsidRDefault="005E49F7" w:rsidP="005E49F7">
            <w:pPr>
              <w:spacing w:line="240" w:lineRule="auto"/>
              <w:ind w:firstLineChars="200" w:firstLine="31680"/>
              <w:rPr>
                <w:rFonts w:ascii="宋体"/>
                <w:sz w:val="21"/>
                <w:szCs w:val="21"/>
              </w:rPr>
            </w:pPr>
            <w:r>
              <w:rPr>
                <w:rFonts w:ascii="宋体" w:hAnsi="宋体" w:cs="宋体" w:hint="eastAsia"/>
                <w:sz w:val="21"/>
                <w:szCs w:val="21"/>
              </w:rPr>
              <w:t>准保护区水域边界线向陆域纵深</w:t>
            </w:r>
            <w:r>
              <w:rPr>
                <w:rFonts w:ascii="宋体" w:hAnsi="宋体" w:cs="宋体"/>
                <w:sz w:val="21"/>
                <w:szCs w:val="21"/>
              </w:rPr>
              <w:t>2</w:t>
            </w:r>
            <w:r>
              <w:rPr>
                <w:rFonts w:ascii="宋体" w:hAnsi="宋体" w:cs="宋体" w:hint="eastAsia"/>
                <w:sz w:val="21"/>
                <w:szCs w:val="21"/>
              </w:rPr>
              <w:t>公里的陆域范围（河梅高速公路以西区域除外）。</w:t>
            </w:r>
          </w:p>
        </w:tc>
      </w:tr>
      <w:tr w:rsidR="005E49F7">
        <w:trPr>
          <w:trHeight w:val="397"/>
          <w:jc w:val="center"/>
        </w:trPr>
        <w:tc>
          <w:tcPr>
            <w:tcW w:w="677" w:type="dxa"/>
            <w:vMerge w:val="restart"/>
            <w:vAlign w:val="center"/>
          </w:tcPr>
          <w:p w:rsidR="005E49F7" w:rsidRDefault="005E49F7">
            <w:pPr>
              <w:spacing w:after="156" w:line="240" w:lineRule="auto"/>
              <w:jc w:val="center"/>
              <w:rPr>
                <w:rFonts w:ascii="宋体"/>
                <w:sz w:val="21"/>
                <w:szCs w:val="21"/>
              </w:rPr>
            </w:pPr>
            <w:r>
              <w:rPr>
                <w:rFonts w:ascii="宋体" w:hAnsi="宋体" w:cs="宋体" w:hint="eastAsia"/>
                <w:sz w:val="21"/>
                <w:szCs w:val="21"/>
              </w:rPr>
              <w:t>清凉山水库饮用水源保护区</w:t>
            </w:r>
          </w:p>
        </w:tc>
        <w:tc>
          <w:tcPr>
            <w:tcW w:w="677" w:type="dxa"/>
            <w:vAlign w:val="center"/>
          </w:tcPr>
          <w:p w:rsidR="005E49F7" w:rsidRDefault="005E49F7">
            <w:pPr>
              <w:spacing w:after="156" w:line="240" w:lineRule="auto"/>
              <w:jc w:val="center"/>
              <w:rPr>
                <w:rFonts w:ascii="宋体"/>
                <w:sz w:val="21"/>
                <w:szCs w:val="21"/>
              </w:rPr>
            </w:pPr>
            <w:r>
              <w:rPr>
                <w:rFonts w:ascii="宋体" w:hAnsi="宋体" w:cs="宋体" w:hint="eastAsia"/>
                <w:sz w:val="21"/>
                <w:szCs w:val="21"/>
              </w:rPr>
              <w:t>一级保护区</w:t>
            </w:r>
          </w:p>
        </w:tc>
        <w:tc>
          <w:tcPr>
            <w:tcW w:w="3633" w:type="dxa"/>
            <w:vAlign w:val="center"/>
          </w:tcPr>
          <w:p w:rsidR="005E49F7" w:rsidRDefault="005E49F7" w:rsidP="005E49F7">
            <w:pPr>
              <w:spacing w:line="240" w:lineRule="auto"/>
              <w:ind w:firstLineChars="200" w:firstLine="31680"/>
              <w:rPr>
                <w:rFonts w:ascii="宋体"/>
                <w:sz w:val="21"/>
                <w:szCs w:val="21"/>
              </w:rPr>
            </w:pPr>
            <w:r>
              <w:rPr>
                <w:rFonts w:ascii="宋体" w:hAnsi="宋体" w:cs="宋体" w:hint="eastAsia"/>
                <w:sz w:val="21"/>
                <w:szCs w:val="21"/>
              </w:rPr>
              <w:t>正常蓄水位</w:t>
            </w:r>
            <w:r>
              <w:rPr>
                <w:rFonts w:ascii="宋体" w:hAnsi="宋体" w:cs="宋体"/>
                <w:sz w:val="21"/>
                <w:szCs w:val="21"/>
              </w:rPr>
              <w:t>232m</w:t>
            </w:r>
            <w:r>
              <w:rPr>
                <w:rFonts w:ascii="宋体" w:hAnsi="宋体" w:cs="宋体" w:hint="eastAsia"/>
                <w:sz w:val="21"/>
                <w:szCs w:val="21"/>
              </w:rPr>
              <w:t>全部水域以及入库溪流上溯至一级保护区陆域边界面河段水域，水质保护目标为</w:t>
            </w:r>
            <w:r>
              <w:rPr>
                <w:rFonts w:ascii="宋体" w:cs="宋体" w:hint="eastAsia"/>
                <w:sz w:val="21"/>
                <w:szCs w:val="21"/>
              </w:rPr>
              <w:t>Ⅱ</w:t>
            </w:r>
            <w:r>
              <w:rPr>
                <w:rFonts w:ascii="宋体" w:hAnsi="宋体" w:cs="宋体" w:hint="eastAsia"/>
                <w:sz w:val="21"/>
                <w:szCs w:val="21"/>
              </w:rPr>
              <w:t>类；龙仔坑全部水域，水质保护目标为</w:t>
            </w:r>
            <w:r>
              <w:rPr>
                <w:rFonts w:ascii="宋体" w:cs="宋体" w:hint="eastAsia"/>
                <w:sz w:val="21"/>
                <w:szCs w:val="21"/>
              </w:rPr>
              <w:t>Ⅱ</w:t>
            </w:r>
            <w:r>
              <w:rPr>
                <w:rFonts w:ascii="宋体" w:hAnsi="宋体" w:cs="宋体" w:hint="eastAsia"/>
                <w:sz w:val="21"/>
                <w:szCs w:val="21"/>
              </w:rPr>
              <w:t>类；杨梅坑全部水域，水质保护目标为</w:t>
            </w:r>
            <w:r>
              <w:rPr>
                <w:rFonts w:ascii="宋体" w:cs="宋体" w:hint="eastAsia"/>
                <w:sz w:val="21"/>
                <w:szCs w:val="21"/>
              </w:rPr>
              <w:t>Ⅱ</w:t>
            </w:r>
            <w:r>
              <w:rPr>
                <w:rFonts w:ascii="宋体" w:hAnsi="宋体" w:cs="宋体" w:hint="eastAsia"/>
                <w:sz w:val="21"/>
                <w:szCs w:val="21"/>
              </w:rPr>
              <w:t>类；小深坑全部水域，水质保护目标为</w:t>
            </w:r>
            <w:r>
              <w:rPr>
                <w:rFonts w:ascii="宋体" w:cs="宋体" w:hint="eastAsia"/>
                <w:sz w:val="21"/>
                <w:szCs w:val="21"/>
              </w:rPr>
              <w:t>Ⅱ</w:t>
            </w:r>
            <w:r>
              <w:rPr>
                <w:rFonts w:ascii="宋体" w:hAnsi="宋体" w:cs="宋体" w:hint="eastAsia"/>
                <w:sz w:val="21"/>
                <w:szCs w:val="21"/>
              </w:rPr>
              <w:t>类；狗咀坑水库正常蓄水位</w:t>
            </w:r>
            <w:r>
              <w:rPr>
                <w:rFonts w:ascii="宋体" w:hAnsi="宋体" w:cs="宋体"/>
                <w:sz w:val="21"/>
                <w:szCs w:val="21"/>
              </w:rPr>
              <w:t>175m</w:t>
            </w:r>
            <w:r>
              <w:rPr>
                <w:rFonts w:ascii="宋体" w:hAnsi="宋体" w:cs="宋体" w:hint="eastAsia"/>
                <w:sz w:val="21"/>
                <w:szCs w:val="21"/>
              </w:rPr>
              <w:t>全部水域，水质保护目标为</w:t>
            </w:r>
            <w:r>
              <w:rPr>
                <w:rFonts w:ascii="宋体" w:cs="宋体" w:hint="eastAsia"/>
                <w:sz w:val="21"/>
                <w:szCs w:val="21"/>
              </w:rPr>
              <w:t>Ⅱ</w:t>
            </w:r>
            <w:r>
              <w:rPr>
                <w:rFonts w:ascii="宋体" w:hAnsi="宋体" w:cs="宋体" w:hint="eastAsia"/>
                <w:sz w:val="21"/>
                <w:szCs w:val="21"/>
              </w:rPr>
              <w:t>类；盘湖水库正常蓄水位</w:t>
            </w:r>
            <w:r>
              <w:rPr>
                <w:rFonts w:ascii="宋体" w:hAnsi="宋体" w:cs="宋体"/>
                <w:sz w:val="21"/>
                <w:szCs w:val="21"/>
              </w:rPr>
              <w:t>242m</w:t>
            </w:r>
            <w:r>
              <w:rPr>
                <w:rFonts w:ascii="宋体" w:hAnsi="宋体" w:cs="宋体" w:hint="eastAsia"/>
                <w:sz w:val="21"/>
                <w:szCs w:val="21"/>
              </w:rPr>
              <w:t>全部水域，水质保护目标为</w:t>
            </w:r>
            <w:r>
              <w:rPr>
                <w:rFonts w:ascii="宋体" w:cs="宋体" w:hint="eastAsia"/>
                <w:sz w:val="21"/>
                <w:szCs w:val="21"/>
              </w:rPr>
              <w:t>Ⅱ</w:t>
            </w:r>
            <w:r>
              <w:rPr>
                <w:rFonts w:ascii="宋体" w:hAnsi="宋体" w:cs="宋体" w:hint="eastAsia"/>
                <w:sz w:val="21"/>
                <w:szCs w:val="21"/>
              </w:rPr>
              <w:t>类；</w:t>
            </w:r>
          </w:p>
        </w:tc>
        <w:tc>
          <w:tcPr>
            <w:tcW w:w="3717" w:type="dxa"/>
            <w:vAlign w:val="center"/>
          </w:tcPr>
          <w:p w:rsidR="005E49F7" w:rsidRDefault="005E49F7" w:rsidP="007E49DF">
            <w:pPr>
              <w:spacing w:beforeLines="50" w:afterLines="50" w:line="240" w:lineRule="auto"/>
              <w:rPr>
                <w:rFonts w:ascii="宋体"/>
                <w:sz w:val="21"/>
                <w:szCs w:val="21"/>
              </w:rPr>
            </w:pPr>
            <w:r>
              <w:rPr>
                <w:rFonts w:ascii="宋体" w:hAnsi="宋体" w:cs="宋体"/>
                <w:sz w:val="21"/>
                <w:szCs w:val="21"/>
              </w:rPr>
              <w:t xml:space="preserve">    232m</w:t>
            </w:r>
            <w:r>
              <w:rPr>
                <w:rFonts w:ascii="宋体" w:hAnsi="宋体" w:cs="宋体" w:hint="eastAsia"/>
                <w:sz w:val="21"/>
                <w:szCs w:val="21"/>
              </w:rPr>
              <w:t>正常蓄水位向陆纵深坝址以上东至白水礤，东南至新田，南至溪田官斗山，西至清凉山，北至桂竹钟客田</w:t>
            </w:r>
          </w:p>
        </w:tc>
      </w:tr>
      <w:tr w:rsidR="005E49F7">
        <w:trPr>
          <w:trHeight w:val="397"/>
          <w:jc w:val="center"/>
        </w:trPr>
        <w:tc>
          <w:tcPr>
            <w:tcW w:w="677" w:type="dxa"/>
            <w:vMerge/>
            <w:vAlign w:val="center"/>
          </w:tcPr>
          <w:p w:rsidR="005E49F7" w:rsidRDefault="005E49F7">
            <w:pPr>
              <w:spacing w:after="156" w:line="240" w:lineRule="auto"/>
              <w:jc w:val="center"/>
              <w:rPr>
                <w:rFonts w:ascii="宋体"/>
                <w:sz w:val="21"/>
                <w:szCs w:val="21"/>
              </w:rPr>
            </w:pPr>
          </w:p>
        </w:tc>
        <w:tc>
          <w:tcPr>
            <w:tcW w:w="677" w:type="dxa"/>
            <w:vAlign w:val="center"/>
          </w:tcPr>
          <w:p w:rsidR="005E49F7" w:rsidRDefault="005E49F7">
            <w:pPr>
              <w:spacing w:after="156" w:line="240" w:lineRule="auto"/>
              <w:jc w:val="center"/>
              <w:rPr>
                <w:rFonts w:ascii="宋体"/>
                <w:sz w:val="21"/>
                <w:szCs w:val="21"/>
              </w:rPr>
            </w:pPr>
            <w:r>
              <w:rPr>
                <w:rFonts w:ascii="宋体" w:hAnsi="宋体" w:cs="宋体" w:hint="eastAsia"/>
                <w:sz w:val="21"/>
                <w:szCs w:val="21"/>
              </w:rPr>
              <w:t>二级保护区</w:t>
            </w:r>
          </w:p>
        </w:tc>
        <w:tc>
          <w:tcPr>
            <w:tcW w:w="3633" w:type="dxa"/>
            <w:vAlign w:val="center"/>
          </w:tcPr>
          <w:p w:rsidR="005E49F7" w:rsidRDefault="005E49F7">
            <w:pPr>
              <w:spacing w:before="80" w:after="80" w:line="240" w:lineRule="auto"/>
              <w:rPr>
                <w:rFonts w:ascii="宋体"/>
                <w:sz w:val="21"/>
                <w:szCs w:val="21"/>
              </w:rPr>
            </w:pPr>
            <w:r>
              <w:rPr>
                <w:rFonts w:ascii="宋体" w:hAnsi="宋体" w:cs="宋体" w:hint="eastAsia"/>
                <w:sz w:val="21"/>
                <w:szCs w:val="21"/>
              </w:rPr>
              <w:t>清凉山水库溪流一级保护区陆域边界面上溯至源头全部水域，水质保护目标为</w:t>
            </w:r>
            <w:r>
              <w:rPr>
                <w:rFonts w:ascii="宋体" w:cs="宋体" w:hint="eastAsia"/>
                <w:sz w:val="21"/>
                <w:szCs w:val="21"/>
              </w:rPr>
              <w:t>Ⅱ</w:t>
            </w:r>
            <w:r>
              <w:rPr>
                <w:rFonts w:ascii="宋体" w:hAnsi="宋体" w:cs="宋体" w:hint="eastAsia"/>
                <w:sz w:val="21"/>
                <w:szCs w:val="21"/>
              </w:rPr>
              <w:t>类；</w:t>
            </w:r>
          </w:p>
        </w:tc>
        <w:tc>
          <w:tcPr>
            <w:tcW w:w="3717" w:type="dxa"/>
            <w:vAlign w:val="center"/>
          </w:tcPr>
          <w:p w:rsidR="005E49F7" w:rsidRDefault="005E49F7" w:rsidP="005E49F7">
            <w:pPr>
              <w:spacing w:before="80" w:after="80" w:line="240" w:lineRule="auto"/>
              <w:ind w:firstLineChars="200" w:firstLine="31680"/>
              <w:rPr>
                <w:rFonts w:ascii="宋体"/>
                <w:sz w:val="21"/>
                <w:szCs w:val="21"/>
              </w:rPr>
            </w:pPr>
            <w:r>
              <w:rPr>
                <w:rFonts w:ascii="宋体" w:hAnsi="宋体" w:cs="宋体" w:hint="eastAsia"/>
                <w:sz w:val="21"/>
                <w:szCs w:val="21"/>
              </w:rPr>
              <w:t>清凉山水库除一级保护区外的全部集雨区</w:t>
            </w:r>
            <w:r>
              <w:rPr>
                <w:rFonts w:ascii="宋体" w:hAnsi="宋体" w:cs="宋体"/>
                <w:sz w:val="21"/>
                <w:szCs w:val="21"/>
              </w:rPr>
              <w:t>80.28 km2</w:t>
            </w:r>
            <w:r>
              <w:rPr>
                <w:rFonts w:ascii="宋体" w:hAnsi="宋体" w:cs="宋体" w:hint="eastAsia"/>
                <w:sz w:val="21"/>
                <w:szCs w:val="21"/>
              </w:rPr>
              <w:t>陆域</w:t>
            </w:r>
          </w:p>
        </w:tc>
      </w:tr>
      <w:tr w:rsidR="005E49F7">
        <w:trPr>
          <w:trHeight w:val="397"/>
          <w:jc w:val="center"/>
        </w:trPr>
        <w:tc>
          <w:tcPr>
            <w:tcW w:w="677" w:type="dxa"/>
            <w:vMerge w:val="restart"/>
            <w:vAlign w:val="center"/>
          </w:tcPr>
          <w:p w:rsidR="005E49F7" w:rsidRDefault="005E49F7">
            <w:pPr>
              <w:spacing w:after="156" w:line="240" w:lineRule="auto"/>
              <w:jc w:val="center"/>
              <w:rPr>
                <w:rFonts w:ascii="宋体"/>
                <w:sz w:val="21"/>
                <w:szCs w:val="21"/>
              </w:rPr>
            </w:pPr>
            <w:r>
              <w:rPr>
                <w:rFonts w:cs="宋体" w:hint="eastAsia"/>
                <w:sz w:val="21"/>
                <w:szCs w:val="21"/>
              </w:rPr>
              <w:t>松口镇饮用水源保护区</w:t>
            </w:r>
          </w:p>
        </w:tc>
        <w:tc>
          <w:tcPr>
            <w:tcW w:w="677" w:type="dxa"/>
            <w:vAlign w:val="center"/>
          </w:tcPr>
          <w:p w:rsidR="005E49F7" w:rsidRDefault="005E49F7">
            <w:pPr>
              <w:spacing w:line="240" w:lineRule="auto"/>
              <w:rPr>
                <w:rFonts w:ascii="宋体"/>
                <w:sz w:val="21"/>
                <w:szCs w:val="21"/>
              </w:rPr>
            </w:pPr>
            <w:r>
              <w:rPr>
                <w:rFonts w:ascii="宋体" w:hAnsi="宋体" w:cs="宋体" w:hint="eastAsia"/>
                <w:sz w:val="21"/>
                <w:szCs w:val="21"/>
              </w:rPr>
              <w:t>一级保护区</w:t>
            </w:r>
          </w:p>
        </w:tc>
        <w:tc>
          <w:tcPr>
            <w:tcW w:w="3633" w:type="dxa"/>
            <w:vAlign w:val="center"/>
          </w:tcPr>
          <w:p w:rsidR="005E49F7" w:rsidRDefault="005E49F7">
            <w:pPr>
              <w:spacing w:line="240" w:lineRule="auto"/>
              <w:rPr>
                <w:rFonts w:ascii="宋体"/>
                <w:sz w:val="21"/>
                <w:szCs w:val="21"/>
              </w:rPr>
            </w:pPr>
            <w:r>
              <w:rPr>
                <w:rFonts w:ascii="宋体" w:hAnsi="宋体" w:cs="宋体" w:hint="eastAsia"/>
                <w:sz w:val="21"/>
                <w:szCs w:val="21"/>
              </w:rPr>
              <w:t>松口镇梅东桥自来水厂梅江吸水点上至寺坑河段（约</w:t>
            </w:r>
            <w:r>
              <w:rPr>
                <w:rFonts w:ascii="宋体" w:hAnsi="宋体" w:cs="宋体"/>
                <w:sz w:val="21"/>
                <w:szCs w:val="21"/>
              </w:rPr>
              <w:t>4000</w:t>
            </w:r>
            <w:r>
              <w:rPr>
                <w:rFonts w:ascii="宋体" w:hAnsi="宋体" w:cs="宋体" w:hint="eastAsia"/>
                <w:sz w:val="21"/>
                <w:szCs w:val="21"/>
              </w:rPr>
              <w:t>米）的水域。水质保护目标为Ⅱ类</w:t>
            </w:r>
          </w:p>
        </w:tc>
        <w:tc>
          <w:tcPr>
            <w:tcW w:w="3717" w:type="dxa"/>
            <w:vAlign w:val="center"/>
          </w:tcPr>
          <w:p w:rsidR="005E49F7" w:rsidRDefault="005E49F7">
            <w:pPr>
              <w:spacing w:line="240" w:lineRule="auto"/>
              <w:rPr>
                <w:rFonts w:ascii="宋体"/>
                <w:sz w:val="21"/>
                <w:szCs w:val="21"/>
              </w:rPr>
            </w:pPr>
            <w:r>
              <w:rPr>
                <w:rFonts w:ascii="宋体" w:hAnsi="宋体" w:cs="宋体" w:hint="eastAsia"/>
                <w:sz w:val="21"/>
                <w:szCs w:val="21"/>
              </w:rPr>
              <w:t>相应一级保护区水域两岸河堤外坡脚向纵深</w:t>
            </w:r>
            <w:r>
              <w:rPr>
                <w:rFonts w:ascii="宋体" w:hAnsi="宋体" w:cs="宋体"/>
                <w:sz w:val="21"/>
                <w:szCs w:val="21"/>
              </w:rPr>
              <w:t>500</w:t>
            </w:r>
            <w:r>
              <w:rPr>
                <w:rFonts w:ascii="宋体" w:hAnsi="宋体" w:cs="宋体" w:hint="eastAsia"/>
                <w:sz w:val="21"/>
                <w:szCs w:val="21"/>
              </w:rPr>
              <w:t>米陆域范围。</w:t>
            </w:r>
          </w:p>
        </w:tc>
      </w:tr>
      <w:tr w:rsidR="005E49F7">
        <w:trPr>
          <w:trHeight w:val="397"/>
          <w:jc w:val="center"/>
        </w:trPr>
        <w:tc>
          <w:tcPr>
            <w:tcW w:w="677" w:type="dxa"/>
            <w:vMerge/>
            <w:vAlign w:val="center"/>
          </w:tcPr>
          <w:p w:rsidR="005E49F7" w:rsidRDefault="005E49F7">
            <w:pPr>
              <w:spacing w:after="156" w:line="240" w:lineRule="auto"/>
              <w:jc w:val="center"/>
              <w:rPr>
                <w:rFonts w:ascii="宋体"/>
                <w:sz w:val="21"/>
                <w:szCs w:val="21"/>
              </w:rPr>
            </w:pPr>
          </w:p>
        </w:tc>
        <w:tc>
          <w:tcPr>
            <w:tcW w:w="677" w:type="dxa"/>
            <w:vAlign w:val="center"/>
          </w:tcPr>
          <w:p w:rsidR="005E49F7" w:rsidRDefault="005E49F7">
            <w:pPr>
              <w:spacing w:line="240" w:lineRule="auto"/>
              <w:rPr>
                <w:rFonts w:ascii="宋体"/>
                <w:sz w:val="21"/>
                <w:szCs w:val="21"/>
              </w:rPr>
            </w:pPr>
            <w:r>
              <w:rPr>
                <w:rFonts w:cs="宋体" w:hint="eastAsia"/>
                <w:sz w:val="21"/>
                <w:szCs w:val="21"/>
              </w:rPr>
              <w:t>二级保护区</w:t>
            </w:r>
          </w:p>
        </w:tc>
        <w:tc>
          <w:tcPr>
            <w:tcW w:w="3633" w:type="dxa"/>
            <w:vAlign w:val="center"/>
          </w:tcPr>
          <w:p w:rsidR="005E49F7" w:rsidRDefault="005E49F7">
            <w:pPr>
              <w:spacing w:line="240" w:lineRule="auto"/>
              <w:rPr>
                <w:rFonts w:ascii="宋体"/>
                <w:sz w:val="21"/>
                <w:szCs w:val="21"/>
              </w:rPr>
            </w:pPr>
            <w:r>
              <w:rPr>
                <w:rFonts w:cs="宋体" w:hint="eastAsia"/>
                <w:sz w:val="21"/>
                <w:szCs w:val="21"/>
              </w:rPr>
              <w:t>梅江小黄村之寺坑河段（约</w:t>
            </w:r>
            <w:r>
              <w:rPr>
                <w:sz w:val="21"/>
                <w:szCs w:val="21"/>
              </w:rPr>
              <w:t>4000</w:t>
            </w:r>
            <w:r>
              <w:rPr>
                <w:rFonts w:cs="宋体" w:hint="eastAsia"/>
                <w:sz w:val="21"/>
                <w:szCs w:val="21"/>
              </w:rPr>
              <w:t>米）的水域。水质保护目标为Ⅱ类</w:t>
            </w:r>
          </w:p>
        </w:tc>
        <w:tc>
          <w:tcPr>
            <w:tcW w:w="3717" w:type="dxa"/>
            <w:vAlign w:val="center"/>
          </w:tcPr>
          <w:p w:rsidR="005E49F7" w:rsidRDefault="005E49F7">
            <w:pPr>
              <w:spacing w:line="240" w:lineRule="auto"/>
              <w:rPr>
                <w:rFonts w:ascii="宋体"/>
                <w:sz w:val="21"/>
                <w:szCs w:val="21"/>
              </w:rPr>
            </w:pPr>
            <w:r>
              <w:rPr>
                <w:rFonts w:cs="宋体" w:hint="eastAsia"/>
                <w:sz w:val="21"/>
                <w:szCs w:val="21"/>
              </w:rPr>
              <w:t>相应二级保护区水域两岸河堤外坡脚向纵深</w:t>
            </w:r>
            <w:r>
              <w:rPr>
                <w:sz w:val="21"/>
                <w:szCs w:val="21"/>
              </w:rPr>
              <w:t>200</w:t>
            </w:r>
            <w:r>
              <w:rPr>
                <w:rFonts w:cs="宋体" w:hint="eastAsia"/>
                <w:sz w:val="21"/>
                <w:szCs w:val="21"/>
              </w:rPr>
              <w:t>米陆域范围。</w:t>
            </w:r>
          </w:p>
        </w:tc>
      </w:tr>
      <w:tr w:rsidR="005E49F7">
        <w:trPr>
          <w:trHeight w:val="397"/>
          <w:jc w:val="center"/>
        </w:trPr>
        <w:tc>
          <w:tcPr>
            <w:tcW w:w="677" w:type="dxa"/>
            <w:vAlign w:val="center"/>
          </w:tcPr>
          <w:p w:rsidR="005E49F7" w:rsidRDefault="005E49F7">
            <w:pPr>
              <w:spacing w:after="156" w:line="240" w:lineRule="auto"/>
              <w:jc w:val="center"/>
              <w:rPr>
                <w:rFonts w:ascii="宋体"/>
                <w:sz w:val="21"/>
                <w:szCs w:val="21"/>
              </w:rPr>
            </w:pPr>
            <w:r>
              <w:rPr>
                <w:rFonts w:ascii="宋体" w:hAnsi="宋体" w:cs="宋体" w:hint="eastAsia"/>
                <w:sz w:val="21"/>
                <w:szCs w:val="21"/>
              </w:rPr>
              <w:t>水口镇水源保护区</w:t>
            </w:r>
          </w:p>
        </w:tc>
        <w:tc>
          <w:tcPr>
            <w:tcW w:w="677" w:type="dxa"/>
            <w:vAlign w:val="center"/>
          </w:tcPr>
          <w:p w:rsidR="005E49F7" w:rsidRDefault="005E49F7">
            <w:pPr>
              <w:spacing w:line="240" w:lineRule="auto"/>
              <w:rPr>
                <w:sz w:val="21"/>
                <w:szCs w:val="21"/>
              </w:rPr>
            </w:pPr>
            <w:r>
              <w:rPr>
                <w:rFonts w:ascii="宋体" w:hAnsi="宋体" w:cs="宋体" w:hint="eastAsia"/>
                <w:sz w:val="21"/>
                <w:szCs w:val="21"/>
              </w:rPr>
              <w:t>一级保护区</w:t>
            </w:r>
          </w:p>
        </w:tc>
        <w:tc>
          <w:tcPr>
            <w:tcW w:w="3633" w:type="dxa"/>
            <w:vAlign w:val="center"/>
          </w:tcPr>
          <w:p w:rsidR="005E49F7" w:rsidRDefault="005E49F7">
            <w:pPr>
              <w:spacing w:line="240" w:lineRule="auto"/>
              <w:rPr>
                <w:sz w:val="21"/>
                <w:szCs w:val="21"/>
              </w:rPr>
            </w:pPr>
            <w:r>
              <w:rPr>
                <w:rFonts w:ascii="宋体" w:hAnsi="宋体" w:cs="宋体" w:hint="eastAsia"/>
                <w:sz w:val="21"/>
                <w:szCs w:val="21"/>
              </w:rPr>
              <w:t>以水口镇英华水厂吸水点为中心分别向琴江、宁江上溯</w:t>
            </w:r>
            <w:r>
              <w:rPr>
                <w:rFonts w:ascii="宋体" w:hAnsi="宋体" w:cs="宋体"/>
                <w:sz w:val="21"/>
                <w:szCs w:val="21"/>
              </w:rPr>
              <w:t>1000</w:t>
            </w:r>
            <w:r>
              <w:rPr>
                <w:rFonts w:ascii="宋体" w:hAnsi="宋体" w:cs="宋体" w:hint="eastAsia"/>
                <w:sz w:val="21"/>
                <w:szCs w:val="21"/>
              </w:rPr>
              <w:t>米，下溯</w:t>
            </w:r>
            <w:r>
              <w:rPr>
                <w:rFonts w:ascii="宋体" w:hAnsi="宋体" w:cs="宋体"/>
                <w:sz w:val="21"/>
                <w:szCs w:val="21"/>
              </w:rPr>
              <w:t>500</w:t>
            </w:r>
            <w:r>
              <w:rPr>
                <w:rFonts w:ascii="宋体" w:hAnsi="宋体" w:cs="宋体" w:hint="eastAsia"/>
                <w:sz w:val="21"/>
                <w:szCs w:val="21"/>
              </w:rPr>
              <w:t>米内的水域。水质保护目标为Ⅱ类</w:t>
            </w:r>
          </w:p>
        </w:tc>
        <w:tc>
          <w:tcPr>
            <w:tcW w:w="3717" w:type="dxa"/>
            <w:vAlign w:val="center"/>
          </w:tcPr>
          <w:p w:rsidR="005E49F7" w:rsidRDefault="005E49F7">
            <w:pPr>
              <w:spacing w:line="240" w:lineRule="auto"/>
              <w:rPr>
                <w:sz w:val="21"/>
                <w:szCs w:val="21"/>
              </w:rPr>
            </w:pPr>
            <w:r>
              <w:rPr>
                <w:rFonts w:ascii="宋体" w:hAnsi="宋体" w:cs="宋体" w:hint="eastAsia"/>
                <w:sz w:val="21"/>
                <w:szCs w:val="21"/>
              </w:rPr>
              <w:t>相应一级保护区水域两岸河堤外坡脚向纵深</w:t>
            </w:r>
            <w:r>
              <w:rPr>
                <w:rFonts w:ascii="宋体" w:hAnsi="宋体" w:cs="宋体"/>
                <w:sz w:val="21"/>
                <w:szCs w:val="21"/>
              </w:rPr>
              <w:t>1000</w:t>
            </w:r>
            <w:r>
              <w:rPr>
                <w:rFonts w:ascii="宋体" w:hAnsi="宋体" w:cs="宋体" w:hint="eastAsia"/>
                <w:sz w:val="21"/>
                <w:szCs w:val="21"/>
              </w:rPr>
              <w:t>米陆域范围。</w:t>
            </w:r>
          </w:p>
        </w:tc>
      </w:tr>
      <w:tr w:rsidR="005E49F7">
        <w:trPr>
          <w:trHeight w:val="397"/>
          <w:jc w:val="center"/>
        </w:trPr>
        <w:tc>
          <w:tcPr>
            <w:tcW w:w="677" w:type="dxa"/>
            <w:vMerge w:val="restart"/>
            <w:vAlign w:val="center"/>
          </w:tcPr>
          <w:p w:rsidR="005E49F7" w:rsidRDefault="005E49F7">
            <w:pPr>
              <w:spacing w:after="156" w:line="240" w:lineRule="auto"/>
              <w:jc w:val="center"/>
              <w:rPr>
                <w:rFonts w:ascii="宋体"/>
                <w:sz w:val="21"/>
                <w:szCs w:val="21"/>
              </w:rPr>
            </w:pPr>
            <w:r>
              <w:rPr>
                <w:rFonts w:ascii="宋体" w:hAnsi="宋体" w:cs="宋体" w:hint="eastAsia"/>
                <w:sz w:val="21"/>
                <w:szCs w:val="21"/>
              </w:rPr>
              <w:t>畲江镇饮用水源</w:t>
            </w:r>
          </w:p>
        </w:tc>
        <w:tc>
          <w:tcPr>
            <w:tcW w:w="677" w:type="dxa"/>
            <w:vAlign w:val="center"/>
          </w:tcPr>
          <w:p w:rsidR="005E49F7" w:rsidRDefault="005E49F7">
            <w:pPr>
              <w:spacing w:line="240" w:lineRule="auto"/>
              <w:rPr>
                <w:rFonts w:ascii="宋体"/>
                <w:sz w:val="21"/>
                <w:szCs w:val="21"/>
              </w:rPr>
            </w:pPr>
            <w:r>
              <w:rPr>
                <w:rFonts w:ascii="宋体" w:hAnsi="宋体" w:cs="宋体" w:hint="eastAsia"/>
                <w:sz w:val="21"/>
                <w:szCs w:val="21"/>
              </w:rPr>
              <w:t>一级保护区</w:t>
            </w:r>
          </w:p>
        </w:tc>
        <w:tc>
          <w:tcPr>
            <w:tcW w:w="3633" w:type="dxa"/>
            <w:vAlign w:val="center"/>
          </w:tcPr>
          <w:p w:rsidR="005E49F7" w:rsidRDefault="005E49F7">
            <w:pPr>
              <w:spacing w:line="240" w:lineRule="auto"/>
              <w:rPr>
                <w:rFonts w:ascii="宋体"/>
                <w:sz w:val="21"/>
                <w:szCs w:val="21"/>
              </w:rPr>
            </w:pPr>
            <w:r>
              <w:rPr>
                <w:rFonts w:ascii="宋体" w:hAnsi="宋体" w:cs="宋体" w:hint="eastAsia"/>
                <w:sz w:val="21"/>
                <w:szCs w:val="21"/>
              </w:rPr>
              <w:t>自水口镇黎光村双全坝自然村处至松陂河</w:t>
            </w:r>
            <w:r>
              <w:rPr>
                <w:rFonts w:ascii="宋体" w:cs="宋体" w:hint="eastAsia"/>
                <w:sz w:val="21"/>
                <w:szCs w:val="21"/>
                <w:vertAlign w:val="superscript"/>
              </w:rPr>
              <w:t>①</w:t>
            </w:r>
            <w:r>
              <w:rPr>
                <w:rFonts w:ascii="宋体" w:hAnsi="宋体" w:cs="宋体" w:hint="eastAsia"/>
                <w:sz w:val="21"/>
                <w:szCs w:val="21"/>
              </w:rPr>
              <w:t>汇入梅江口上游</w:t>
            </w:r>
            <w:r>
              <w:rPr>
                <w:rFonts w:ascii="宋体" w:hAnsi="宋体" w:cs="宋体"/>
                <w:sz w:val="21"/>
                <w:szCs w:val="21"/>
              </w:rPr>
              <w:t>400</w:t>
            </w:r>
            <w:r>
              <w:rPr>
                <w:rFonts w:ascii="宋体" w:hAnsi="宋体" w:cs="宋体" w:hint="eastAsia"/>
                <w:sz w:val="21"/>
                <w:szCs w:val="21"/>
              </w:rPr>
              <w:t>米处约</w:t>
            </w:r>
            <w:r>
              <w:rPr>
                <w:rFonts w:ascii="宋体" w:hAnsi="宋体" w:cs="宋体"/>
                <w:sz w:val="21"/>
                <w:szCs w:val="21"/>
              </w:rPr>
              <w:t>1.1</w:t>
            </w:r>
            <w:r>
              <w:rPr>
                <w:rFonts w:ascii="宋体" w:hAnsi="宋体" w:cs="宋体" w:hint="eastAsia"/>
                <w:sz w:val="21"/>
                <w:szCs w:val="21"/>
              </w:rPr>
              <w:t>公里梅江干流河段的水域，横向宽度为自航道右边界线</w:t>
            </w:r>
            <w:r>
              <w:rPr>
                <w:rFonts w:ascii="宋体" w:cs="宋体" w:hint="eastAsia"/>
                <w:sz w:val="21"/>
                <w:szCs w:val="21"/>
                <w:vertAlign w:val="superscript"/>
              </w:rPr>
              <w:t>②</w:t>
            </w:r>
            <w:r>
              <w:rPr>
                <w:rFonts w:ascii="宋体" w:hAnsi="宋体" w:cs="宋体" w:hint="eastAsia"/>
                <w:sz w:val="21"/>
                <w:szCs w:val="21"/>
              </w:rPr>
              <w:t>至右岸</w:t>
            </w:r>
            <w:r>
              <w:rPr>
                <w:rFonts w:ascii="宋体" w:hAnsi="宋体" w:cs="宋体"/>
                <w:sz w:val="21"/>
                <w:szCs w:val="21"/>
              </w:rPr>
              <w:t>5</w:t>
            </w:r>
            <w:r>
              <w:rPr>
                <w:rFonts w:ascii="宋体" w:hAnsi="宋体" w:cs="宋体" w:hint="eastAsia"/>
                <w:sz w:val="21"/>
                <w:szCs w:val="21"/>
              </w:rPr>
              <w:t>年一遇洪水所能淹没的区域。水质保护目标为</w:t>
            </w:r>
            <w:r>
              <w:rPr>
                <w:rFonts w:ascii="宋体" w:cs="宋体" w:hint="eastAsia"/>
                <w:sz w:val="21"/>
                <w:szCs w:val="21"/>
              </w:rPr>
              <w:t>Ⅱ</w:t>
            </w:r>
            <w:r>
              <w:rPr>
                <w:rFonts w:ascii="宋体" w:hAnsi="宋体" w:cs="宋体" w:hint="eastAsia"/>
                <w:sz w:val="21"/>
                <w:szCs w:val="21"/>
              </w:rPr>
              <w:t>类。</w:t>
            </w:r>
          </w:p>
        </w:tc>
        <w:tc>
          <w:tcPr>
            <w:tcW w:w="3717" w:type="dxa"/>
            <w:vAlign w:val="center"/>
          </w:tcPr>
          <w:p w:rsidR="005E49F7" w:rsidRDefault="005E49F7">
            <w:pPr>
              <w:spacing w:line="240" w:lineRule="auto"/>
              <w:rPr>
                <w:rFonts w:ascii="宋体"/>
                <w:sz w:val="21"/>
                <w:szCs w:val="21"/>
              </w:rPr>
            </w:pPr>
            <w:r>
              <w:rPr>
                <w:rFonts w:ascii="宋体" w:hAnsi="宋体" w:cs="宋体" w:hint="eastAsia"/>
                <w:sz w:val="21"/>
                <w:szCs w:val="21"/>
              </w:rPr>
              <w:t>相应一级保护区水域两岸河堤外坡脚向陆纵深</w:t>
            </w:r>
            <w:r>
              <w:rPr>
                <w:rFonts w:ascii="宋体" w:hAnsi="宋体" w:cs="宋体"/>
                <w:sz w:val="21"/>
                <w:szCs w:val="21"/>
              </w:rPr>
              <w:t>50</w:t>
            </w:r>
            <w:r>
              <w:rPr>
                <w:rFonts w:ascii="宋体" w:hAnsi="宋体" w:cs="宋体" w:hint="eastAsia"/>
                <w:sz w:val="21"/>
                <w:szCs w:val="21"/>
              </w:rPr>
              <w:t>米的陆域范围（包括取水点周边半径</w:t>
            </w:r>
            <w:r>
              <w:rPr>
                <w:rFonts w:ascii="宋体" w:hAnsi="宋体" w:cs="宋体"/>
                <w:sz w:val="21"/>
                <w:szCs w:val="21"/>
              </w:rPr>
              <w:t>100</w:t>
            </w:r>
            <w:r>
              <w:rPr>
                <w:rFonts w:ascii="宋体" w:hAnsi="宋体" w:cs="宋体" w:hint="eastAsia"/>
                <w:sz w:val="21"/>
                <w:szCs w:val="21"/>
              </w:rPr>
              <w:t>米的扇形区域</w:t>
            </w:r>
            <w:r>
              <w:rPr>
                <w:rFonts w:ascii="宋体" w:cs="宋体" w:hint="eastAsia"/>
                <w:sz w:val="21"/>
                <w:szCs w:val="21"/>
                <w:vertAlign w:val="superscript"/>
              </w:rPr>
              <w:t>③</w:t>
            </w:r>
            <w:r>
              <w:rPr>
                <w:rFonts w:ascii="宋体" w:hAnsi="宋体" w:cs="宋体" w:hint="eastAsia"/>
                <w:sz w:val="21"/>
                <w:szCs w:val="21"/>
              </w:rPr>
              <w:t>）。</w:t>
            </w:r>
          </w:p>
        </w:tc>
      </w:tr>
      <w:tr w:rsidR="005E49F7">
        <w:trPr>
          <w:trHeight w:val="397"/>
          <w:jc w:val="center"/>
        </w:trPr>
        <w:tc>
          <w:tcPr>
            <w:tcW w:w="677" w:type="dxa"/>
            <w:vMerge/>
          </w:tcPr>
          <w:p w:rsidR="005E49F7" w:rsidRDefault="005E49F7">
            <w:pPr>
              <w:spacing w:after="156" w:line="240" w:lineRule="auto"/>
              <w:jc w:val="center"/>
              <w:rPr>
                <w:rFonts w:ascii="宋体"/>
                <w:sz w:val="21"/>
                <w:szCs w:val="21"/>
              </w:rPr>
            </w:pPr>
          </w:p>
        </w:tc>
        <w:tc>
          <w:tcPr>
            <w:tcW w:w="677" w:type="dxa"/>
            <w:vAlign w:val="center"/>
          </w:tcPr>
          <w:p w:rsidR="005E49F7" w:rsidRDefault="005E49F7">
            <w:pPr>
              <w:spacing w:line="240" w:lineRule="auto"/>
              <w:rPr>
                <w:rFonts w:ascii="宋体"/>
                <w:sz w:val="21"/>
                <w:szCs w:val="21"/>
              </w:rPr>
            </w:pPr>
            <w:r>
              <w:rPr>
                <w:rFonts w:ascii="宋体" w:hAnsi="宋体" w:cs="宋体" w:hint="eastAsia"/>
                <w:sz w:val="21"/>
                <w:szCs w:val="21"/>
              </w:rPr>
              <w:t>二级保护区</w:t>
            </w:r>
          </w:p>
        </w:tc>
        <w:tc>
          <w:tcPr>
            <w:tcW w:w="3633" w:type="dxa"/>
            <w:vAlign w:val="center"/>
          </w:tcPr>
          <w:p w:rsidR="005E49F7" w:rsidRDefault="005E49F7">
            <w:pPr>
              <w:spacing w:line="240" w:lineRule="auto"/>
              <w:rPr>
                <w:rFonts w:ascii="宋体"/>
                <w:sz w:val="21"/>
                <w:szCs w:val="21"/>
              </w:rPr>
            </w:pPr>
            <w:r>
              <w:rPr>
                <w:rFonts w:ascii="宋体" w:hAnsi="宋体" w:cs="宋体" w:hint="eastAsia"/>
                <w:sz w:val="21"/>
                <w:szCs w:val="21"/>
              </w:rPr>
              <w:t>自宋声河汇入梅江口处至松陂河汇入梅江口上游</w:t>
            </w:r>
            <w:r>
              <w:rPr>
                <w:rFonts w:ascii="宋体" w:hAnsi="宋体" w:cs="宋体"/>
                <w:sz w:val="21"/>
                <w:szCs w:val="21"/>
              </w:rPr>
              <w:t>200</w:t>
            </w:r>
            <w:r>
              <w:rPr>
                <w:rFonts w:ascii="宋体" w:hAnsi="宋体" w:cs="宋体" w:hint="eastAsia"/>
                <w:sz w:val="21"/>
                <w:szCs w:val="21"/>
              </w:rPr>
              <w:t>米处约</w:t>
            </w:r>
            <w:r>
              <w:rPr>
                <w:rFonts w:ascii="宋体" w:hAnsi="宋体" w:cs="宋体"/>
                <w:sz w:val="21"/>
                <w:szCs w:val="21"/>
              </w:rPr>
              <w:t>3.3</w:t>
            </w:r>
            <w:r>
              <w:rPr>
                <w:rFonts w:ascii="宋体" w:hAnsi="宋体" w:cs="宋体" w:hint="eastAsia"/>
                <w:sz w:val="21"/>
                <w:szCs w:val="21"/>
              </w:rPr>
              <w:t>公里梅江干流河段的水域（一级保护区水域范围除外），横向宽度为一级保护区水域向外至两岸</w:t>
            </w:r>
            <w:r>
              <w:rPr>
                <w:rFonts w:ascii="宋体" w:hAnsi="宋体" w:cs="宋体"/>
                <w:sz w:val="21"/>
                <w:szCs w:val="21"/>
              </w:rPr>
              <w:t>10</w:t>
            </w:r>
            <w:r>
              <w:rPr>
                <w:rFonts w:ascii="宋体" w:hAnsi="宋体" w:cs="宋体" w:hint="eastAsia"/>
                <w:sz w:val="21"/>
                <w:szCs w:val="21"/>
              </w:rPr>
              <w:t>年一遇洪水所能淹没的区域。水质保护目标为</w:t>
            </w:r>
            <w:r>
              <w:rPr>
                <w:rFonts w:ascii="宋体" w:cs="宋体" w:hint="eastAsia"/>
                <w:sz w:val="21"/>
                <w:szCs w:val="21"/>
              </w:rPr>
              <w:t>Ⅱ</w:t>
            </w:r>
            <w:r>
              <w:rPr>
                <w:rFonts w:ascii="宋体" w:hAnsi="宋体" w:cs="宋体" w:hint="eastAsia"/>
                <w:sz w:val="21"/>
                <w:szCs w:val="21"/>
              </w:rPr>
              <w:t>类。</w:t>
            </w:r>
          </w:p>
        </w:tc>
        <w:tc>
          <w:tcPr>
            <w:tcW w:w="3717" w:type="dxa"/>
            <w:vAlign w:val="center"/>
          </w:tcPr>
          <w:p w:rsidR="005E49F7" w:rsidRDefault="005E49F7">
            <w:pPr>
              <w:spacing w:line="240" w:lineRule="auto"/>
              <w:rPr>
                <w:rFonts w:ascii="宋体"/>
                <w:sz w:val="21"/>
                <w:szCs w:val="21"/>
              </w:rPr>
            </w:pPr>
            <w:r>
              <w:rPr>
                <w:rFonts w:ascii="宋体" w:hAnsi="宋体" w:cs="宋体" w:hint="eastAsia"/>
                <w:sz w:val="21"/>
                <w:szCs w:val="21"/>
              </w:rPr>
              <w:t>相应一、二级保护区水域两岸河堤外坡脚向陆纵深</w:t>
            </w:r>
            <w:r>
              <w:rPr>
                <w:rFonts w:ascii="宋体" w:hAnsi="宋体" w:cs="宋体"/>
                <w:sz w:val="21"/>
                <w:szCs w:val="21"/>
              </w:rPr>
              <w:t>1000</w:t>
            </w:r>
            <w:r>
              <w:rPr>
                <w:rFonts w:ascii="宋体" w:hAnsi="宋体" w:cs="宋体" w:hint="eastAsia"/>
                <w:sz w:val="21"/>
                <w:szCs w:val="21"/>
              </w:rPr>
              <w:t>米的陆域范围（一级保护区陆域范围除外）。</w:t>
            </w:r>
          </w:p>
        </w:tc>
      </w:tr>
    </w:tbl>
    <w:p w:rsidR="005E49F7" w:rsidRDefault="005E49F7">
      <w:pPr>
        <w:pStyle w:val="3"/>
        <w:spacing w:beforeLines="0" w:afterLines="0"/>
        <w:rPr>
          <w:color w:val="auto"/>
        </w:rPr>
      </w:pPr>
    </w:p>
    <w:p w:rsidR="005E49F7" w:rsidRDefault="005E49F7">
      <w:pPr>
        <w:spacing w:line="360" w:lineRule="auto"/>
        <w:jc w:val="left"/>
        <w:outlineLvl w:val="2"/>
        <w:rPr>
          <w:rFonts w:ascii="宋体"/>
          <w:b/>
          <w:bCs/>
        </w:rPr>
      </w:pPr>
      <w:r>
        <w:rPr>
          <w:rFonts w:ascii="宋体" w:hAnsi="宋体" w:cs="宋体"/>
          <w:b/>
          <w:bCs/>
        </w:rPr>
        <w:t xml:space="preserve">3.4.2 </w:t>
      </w:r>
      <w:r>
        <w:rPr>
          <w:rFonts w:ascii="宋体" w:hAnsi="宋体" w:cs="宋体" w:hint="eastAsia"/>
          <w:b/>
          <w:bCs/>
        </w:rPr>
        <w:t>自然保护区</w:t>
      </w:r>
      <w:bookmarkEnd w:id="39"/>
      <w:bookmarkEnd w:id="40"/>
      <w:r>
        <w:rPr>
          <w:rFonts w:ascii="宋体" w:hAnsi="宋体" w:cs="宋体" w:hint="eastAsia"/>
          <w:b/>
          <w:bCs/>
        </w:rPr>
        <w:t>与其他环境敏感区</w:t>
      </w:r>
    </w:p>
    <w:p w:rsidR="005E49F7" w:rsidRDefault="005E49F7" w:rsidP="00D23914">
      <w:pPr>
        <w:pStyle w:val="11"/>
        <w:ind w:firstLine="31680"/>
      </w:pPr>
      <w:r>
        <w:rPr>
          <w:rFonts w:cs="宋体" w:hint="eastAsia"/>
        </w:rPr>
        <w:t>梅州市生态环境良好，有</w:t>
      </w:r>
      <w:r>
        <w:t>124</w:t>
      </w:r>
      <w:r>
        <w:rPr>
          <w:rFonts w:cs="宋体" w:hint="eastAsia"/>
        </w:rPr>
        <w:t>个禁止开发区域，含国家级森林公园</w:t>
      </w:r>
      <w:r>
        <w:t>4</w:t>
      </w:r>
      <w:r>
        <w:rPr>
          <w:rFonts w:cs="宋体" w:hint="eastAsia"/>
        </w:rPr>
        <w:t>个，省级自然保护区</w:t>
      </w:r>
      <w:r>
        <w:t>6</w:t>
      </w:r>
      <w:r>
        <w:rPr>
          <w:rFonts w:cs="宋体" w:hint="eastAsia"/>
        </w:rPr>
        <w:t>个，省级森林公园</w:t>
      </w:r>
      <w:r>
        <w:t>8</w:t>
      </w:r>
      <w:r>
        <w:rPr>
          <w:rFonts w:cs="宋体" w:hint="eastAsia"/>
        </w:rPr>
        <w:t>个，市县级自然保护区</w:t>
      </w:r>
      <w:r>
        <w:t>47</w:t>
      </w:r>
      <w:r>
        <w:rPr>
          <w:rFonts w:cs="宋体" w:hint="eastAsia"/>
        </w:rPr>
        <w:t>个，县级森林公园</w:t>
      </w:r>
      <w:r>
        <w:t>59</w:t>
      </w:r>
      <w:r>
        <w:rPr>
          <w:rFonts w:cs="宋体" w:hint="eastAsia"/>
        </w:rPr>
        <w:t>个。对于其他环境敏感区包括风景名胜区</w:t>
      </w:r>
      <w:r>
        <w:t>2</w:t>
      </w:r>
      <w:r>
        <w:rPr>
          <w:rFonts w:cs="宋体" w:hint="eastAsia"/>
        </w:rPr>
        <w:t>个，重点文物保护单位</w:t>
      </w:r>
      <w:r>
        <w:t>3</w:t>
      </w:r>
      <w:r>
        <w:rPr>
          <w:rFonts w:cs="宋体" w:hint="eastAsia"/>
        </w:rPr>
        <w:t>处。</w:t>
      </w:r>
    </w:p>
    <w:p w:rsidR="005E49F7" w:rsidRDefault="005E49F7" w:rsidP="00D23914">
      <w:pPr>
        <w:pStyle w:val="11"/>
        <w:ind w:firstLine="31680"/>
      </w:pPr>
      <w:r>
        <w:rPr>
          <w:rFonts w:cs="宋体" w:hint="eastAsia"/>
        </w:rPr>
        <w:t>梅州港总体规划范围均未涉及禁止开发区域及其他环境敏感区域。</w:t>
      </w:r>
    </w:p>
    <w:p w:rsidR="005E49F7" w:rsidRDefault="005E49F7">
      <w:pPr>
        <w:spacing w:line="360" w:lineRule="auto"/>
        <w:jc w:val="left"/>
        <w:outlineLvl w:val="2"/>
        <w:rPr>
          <w:rFonts w:ascii="宋体"/>
          <w:b/>
          <w:bCs/>
        </w:rPr>
      </w:pPr>
      <w:bookmarkStart w:id="41" w:name="_Toc313490900"/>
      <w:r>
        <w:rPr>
          <w:rFonts w:ascii="宋体" w:hAnsi="宋体" w:cs="宋体"/>
          <w:b/>
          <w:bCs/>
        </w:rPr>
        <w:t xml:space="preserve">3.4.3 </w:t>
      </w:r>
      <w:r>
        <w:rPr>
          <w:rFonts w:ascii="宋体" w:hAnsi="宋体" w:cs="宋体" w:hint="eastAsia"/>
          <w:b/>
          <w:bCs/>
        </w:rPr>
        <w:t>大气环境保护目标</w:t>
      </w:r>
      <w:bookmarkEnd w:id="41"/>
    </w:p>
    <w:p w:rsidR="005E49F7" w:rsidRDefault="005E49F7" w:rsidP="00D23914">
      <w:pPr>
        <w:pStyle w:val="1"/>
        <w:ind w:firstLine="31680"/>
      </w:pPr>
      <w:r>
        <w:rPr>
          <w:rFonts w:cs="宋体" w:hint="eastAsia"/>
        </w:rPr>
        <w:t>梅州市港口作业区均划分为二类环境空气质量功能区。污染物排放执行广东省《大气污染物排放标准》（</w:t>
      </w:r>
      <w:r>
        <w:t>DB44/27-2001</w:t>
      </w:r>
      <w:r>
        <w:rPr>
          <w:rFonts w:cs="宋体" w:hint="eastAsia"/>
        </w:rPr>
        <w:t>）二级标准。二类功能区内应使岸线规划和港口规划实施过程中大气污染物排放达到排放标准，保护施工区域及港口岸线居民免受大气污染影响，确保港区周围环境空气质量达到二级标准。</w:t>
      </w:r>
    </w:p>
    <w:p w:rsidR="005E49F7" w:rsidRDefault="005E49F7">
      <w:pPr>
        <w:spacing w:line="360" w:lineRule="auto"/>
        <w:jc w:val="left"/>
        <w:outlineLvl w:val="2"/>
        <w:rPr>
          <w:rFonts w:ascii="宋体"/>
          <w:b/>
          <w:bCs/>
        </w:rPr>
      </w:pPr>
      <w:bookmarkStart w:id="42" w:name="_Toc313490901"/>
      <w:r>
        <w:rPr>
          <w:rFonts w:ascii="宋体" w:hAnsi="宋体" w:cs="宋体"/>
          <w:b/>
          <w:bCs/>
        </w:rPr>
        <w:t xml:space="preserve">3.4.4 </w:t>
      </w:r>
      <w:r>
        <w:rPr>
          <w:rFonts w:ascii="宋体" w:hAnsi="宋体" w:cs="宋体" w:hint="eastAsia"/>
          <w:b/>
          <w:bCs/>
        </w:rPr>
        <w:t>声环境保护目标</w:t>
      </w:r>
      <w:bookmarkEnd w:id="42"/>
    </w:p>
    <w:p w:rsidR="005E49F7" w:rsidRDefault="005E49F7" w:rsidP="00D23914">
      <w:pPr>
        <w:pStyle w:val="1"/>
        <w:ind w:firstLine="31680"/>
      </w:pPr>
      <w:r>
        <w:rPr>
          <w:rFonts w:cs="宋体" w:hint="eastAsia"/>
        </w:rPr>
        <w:t>本规划所涉及的港区堆场、后方辅建区划分为《声环境质量标准》</w:t>
      </w:r>
      <w:r>
        <w:t>3</w:t>
      </w:r>
      <w:r>
        <w:rPr>
          <w:rFonts w:cs="宋体" w:hint="eastAsia"/>
        </w:rPr>
        <w:t>类功能区，噪声排放限值为昼间</w:t>
      </w:r>
      <w:r>
        <w:t>65dB(A)</w:t>
      </w:r>
      <w:r>
        <w:rPr>
          <w:rFonts w:cs="宋体" w:hint="eastAsia"/>
        </w:rPr>
        <w:t>，夜间</w:t>
      </w:r>
      <w:r>
        <w:t>55 dB(A)</w:t>
      </w:r>
      <w:r>
        <w:rPr>
          <w:rFonts w:cs="宋体" w:hint="eastAsia"/>
        </w:rPr>
        <w:t>；码头区域划分为</w:t>
      </w:r>
      <w:r>
        <w:t>4a</w:t>
      </w:r>
      <w:r>
        <w:rPr>
          <w:rFonts w:cs="宋体" w:hint="eastAsia"/>
        </w:rPr>
        <w:t>类功能区，噪声排放限值为昼间</w:t>
      </w:r>
      <w:r>
        <w:t>70dB(A)</w:t>
      </w:r>
      <w:r>
        <w:rPr>
          <w:rFonts w:cs="宋体" w:hint="eastAsia"/>
        </w:rPr>
        <w:t>，夜间</w:t>
      </w:r>
      <w:r>
        <w:t>55 dB(A)</w:t>
      </w:r>
      <w:r>
        <w:rPr>
          <w:rFonts w:cs="宋体" w:hint="eastAsia"/>
        </w:rPr>
        <w:t>。声环境保护目标是保护岸线规划和港口规划实过程中噪声排放相应声环境功能区的标准，不发生扰民事件。</w:t>
      </w:r>
    </w:p>
    <w:p w:rsidR="005E49F7" w:rsidRDefault="005E49F7" w:rsidP="00D23914">
      <w:pPr>
        <w:pStyle w:val="1"/>
        <w:ind w:firstLine="31680"/>
        <w:jc w:val="center"/>
      </w:pPr>
      <w:r w:rsidRPr="00BA671C">
        <w:rPr>
          <w:noProof/>
        </w:rPr>
        <w:pict>
          <v:shape id="图片 17" o:spid="_x0000_i1037" type="#_x0000_t75" alt="饮用水源保护区" style="width:257.25pt;height:339.75pt;visibility:visible">
            <v:imagedata r:id="rId23" o:title=""/>
          </v:shape>
        </w:pict>
      </w:r>
    </w:p>
    <w:p w:rsidR="005E49F7" w:rsidRDefault="005E49F7">
      <w:pPr>
        <w:spacing w:line="360" w:lineRule="auto"/>
        <w:jc w:val="center"/>
        <w:outlineLvl w:val="0"/>
      </w:pPr>
      <w:bookmarkStart w:id="43" w:name="_Toc32489"/>
      <w:r>
        <w:rPr>
          <w:rFonts w:cs="宋体" w:hint="eastAsia"/>
          <w:b/>
          <w:bCs/>
          <w:sz w:val="21"/>
          <w:szCs w:val="21"/>
        </w:rPr>
        <w:t>图</w:t>
      </w:r>
      <w:r>
        <w:rPr>
          <w:b/>
          <w:bCs/>
          <w:sz w:val="21"/>
          <w:szCs w:val="21"/>
        </w:rPr>
        <w:t>3.2-1</w:t>
      </w:r>
      <w:r>
        <w:rPr>
          <w:rFonts w:cs="宋体" w:hint="eastAsia"/>
          <w:b/>
          <w:bCs/>
          <w:sz w:val="21"/>
          <w:szCs w:val="21"/>
        </w:rPr>
        <w:t>本规划与涉及的饮用水源保护区位置关系图</w:t>
      </w:r>
      <w:bookmarkEnd w:id="43"/>
    </w:p>
    <w:p w:rsidR="005E49F7" w:rsidRDefault="005E49F7">
      <w:pPr>
        <w:spacing w:line="360" w:lineRule="auto"/>
        <w:jc w:val="left"/>
        <w:outlineLvl w:val="1"/>
        <w:rPr>
          <w:rFonts w:ascii="宋体"/>
          <w:b/>
          <w:bCs/>
          <w:sz w:val="28"/>
          <w:szCs w:val="28"/>
        </w:rPr>
      </w:pPr>
      <w:bookmarkStart w:id="44" w:name="_Toc4076"/>
    </w:p>
    <w:p w:rsidR="005E49F7" w:rsidRDefault="005E49F7">
      <w:pPr>
        <w:spacing w:line="360" w:lineRule="auto"/>
        <w:jc w:val="left"/>
        <w:outlineLvl w:val="1"/>
        <w:rPr>
          <w:rFonts w:ascii="宋体"/>
          <w:b/>
          <w:bCs/>
          <w:sz w:val="28"/>
          <w:szCs w:val="28"/>
        </w:rPr>
      </w:pPr>
      <w:r>
        <w:rPr>
          <w:rFonts w:ascii="宋体" w:hAnsi="宋体" w:cs="宋体"/>
          <w:b/>
          <w:bCs/>
          <w:sz w:val="28"/>
          <w:szCs w:val="28"/>
        </w:rPr>
        <w:t>3.3</w:t>
      </w:r>
      <w:r>
        <w:rPr>
          <w:rFonts w:ascii="宋体" w:hAnsi="宋体" w:cs="宋体" w:hint="eastAsia"/>
          <w:b/>
          <w:bCs/>
          <w:sz w:val="28"/>
          <w:szCs w:val="28"/>
        </w:rPr>
        <w:t>环境风险预测</w:t>
      </w:r>
      <w:bookmarkEnd w:id="44"/>
    </w:p>
    <w:p w:rsidR="005E49F7" w:rsidRDefault="005E49F7">
      <w:pPr>
        <w:spacing w:line="360" w:lineRule="auto"/>
        <w:jc w:val="left"/>
        <w:outlineLvl w:val="2"/>
        <w:rPr>
          <w:rFonts w:ascii="宋体"/>
          <w:b/>
          <w:bCs/>
        </w:rPr>
      </w:pPr>
      <w:r>
        <w:rPr>
          <w:rFonts w:ascii="宋体" w:hAnsi="宋体" w:cs="宋体"/>
          <w:b/>
          <w:bCs/>
        </w:rPr>
        <w:t>3.3.1</w:t>
      </w:r>
      <w:r>
        <w:rPr>
          <w:rFonts w:ascii="宋体" w:hAnsi="宋体" w:cs="宋体" w:hint="eastAsia"/>
          <w:b/>
          <w:bCs/>
        </w:rPr>
        <w:t>矿石入河事故风险分析</w:t>
      </w:r>
    </w:p>
    <w:p w:rsidR="005E49F7" w:rsidRDefault="005E49F7" w:rsidP="00D23914">
      <w:pPr>
        <w:spacing w:beforeLines="50" w:line="360" w:lineRule="auto"/>
        <w:ind w:firstLineChars="200" w:firstLine="31680"/>
      </w:pPr>
      <w:r>
        <w:rPr>
          <w:rFonts w:cs="宋体" w:hint="eastAsia"/>
        </w:rPr>
        <w:t>码头发生矿石入河事故与港区管理水平、操作人员技术熟练程度、机械设备类型和自动化水平等因素有关。拟建的码头结构型式和装卸工艺可控制矿河石卸船过程中落入河中矿粉量，按照抓斗在张开斗时发生事故情况考虑，矿石入河量约</w:t>
      </w:r>
      <w:r>
        <w:t>150kg/</w:t>
      </w:r>
      <w:r>
        <w:rPr>
          <w:rFonts w:cs="宋体" w:hint="eastAsia"/>
        </w:rPr>
        <w:t>次。矿石入河后其溶出物将会对其水域产生一定的污染影响</w:t>
      </w:r>
    </w:p>
    <w:p w:rsidR="005E49F7" w:rsidRDefault="005E49F7" w:rsidP="00D23914">
      <w:pPr>
        <w:spacing w:beforeLines="50" w:line="360" w:lineRule="auto"/>
        <w:ind w:firstLineChars="200" w:firstLine="31680"/>
      </w:pPr>
      <w:r>
        <w:rPr>
          <w:rFonts w:cs="宋体" w:hint="eastAsia"/>
        </w:rPr>
        <w:t>根据预测结果，矿石堆场径流中除</w:t>
      </w:r>
      <w:r>
        <w:t>SS</w:t>
      </w:r>
      <w:r>
        <w:rPr>
          <w:rFonts w:cs="宋体" w:hint="eastAsia"/>
        </w:rPr>
        <w:t>外，其它监测因子均小于《污水综合排放标准》中一级标准。</w:t>
      </w:r>
    </w:p>
    <w:p w:rsidR="005E49F7" w:rsidRDefault="005E49F7" w:rsidP="00D23914">
      <w:pPr>
        <w:spacing w:line="360" w:lineRule="auto"/>
        <w:ind w:firstLineChars="200" w:firstLine="31680"/>
      </w:pPr>
      <w:r>
        <w:rPr>
          <w:rFonts w:cs="宋体" w:hint="eastAsia"/>
        </w:rPr>
        <w:t>降雨过程中，堆场地面径流水在单位时间、单位体积流经的矿石量远大于发生事故后沉入河底矿石量，堆场雨污水中污染物含量应明显高于落入运河中矿石溶出污染物的浓度，因而码头发生矿石入河事故，将沉入河底矿石中污染物溶出过程作为唯一排放源考虑，其排放浓度远小于污染物一级排放标准。</w:t>
      </w:r>
    </w:p>
    <w:p w:rsidR="005E49F7" w:rsidRDefault="005E49F7">
      <w:pPr>
        <w:spacing w:line="360" w:lineRule="auto"/>
        <w:jc w:val="left"/>
        <w:outlineLvl w:val="2"/>
        <w:rPr>
          <w:rFonts w:ascii="宋体"/>
          <w:b/>
          <w:bCs/>
        </w:rPr>
      </w:pPr>
      <w:r>
        <w:rPr>
          <w:rFonts w:ascii="宋体" w:hAnsi="宋体" w:cs="宋体"/>
          <w:b/>
          <w:bCs/>
        </w:rPr>
        <w:t>3.3.2</w:t>
      </w:r>
      <w:r>
        <w:rPr>
          <w:rFonts w:ascii="宋体" w:hAnsi="宋体" w:cs="宋体" w:hint="eastAsia"/>
          <w:b/>
          <w:bCs/>
        </w:rPr>
        <w:t>船舶碰撞溢油事故风险分析</w:t>
      </w:r>
    </w:p>
    <w:p w:rsidR="005E49F7" w:rsidRDefault="005E49F7" w:rsidP="00D23914">
      <w:pPr>
        <w:pStyle w:val="11"/>
        <w:ind w:firstLine="31680"/>
      </w:pPr>
      <w:r>
        <w:rPr>
          <w:rFonts w:cs="宋体" w:hint="eastAsia"/>
        </w:rPr>
        <w:t>本次风险事故分析包括的港区包括：梅州港区、大浦港区。由于规划港区所在河段为二类地表水环境功能区，因此该港不能发展油料、油品装运，在该港区没有油类装运的情况下，其溢油风险将降至最低（由于船舶往来，仍可能存在船舶漏油的小的风险）。由各港区溢油模拟计算结果可以看到，在规划港区发生</w:t>
      </w:r>
      <w:r>
        <w:t>10</w:t>
      </w:r>
      <w:r>
        <w:rPr>
          <w:rFonts w:cs="宋体" w:hint="eastAsia"/>
        </w:rPr>
        <w:t>吨溢油事故情况下，最近离港区下游最近一级电站的石油类超标</w:t>
      </w:r>
      <w:r>
        <w:t>46</w:t>
      </w:r>
      <w:r>
        <w:rPr>
          <w:rFonts w:cs="宋体" w:hint="eastAsia"/>
        </w:rPr>
        <w:t>倍至</w:t>
      </w:r>
      <w:r>
        <w:t>56</w:t>
      </w:r>
      <w:r>
        <w:rPr>
          <w:rFonts w:cs="宋体" w:hint="eastAsia"/>
        </w:rPr>
        <w:t>倍。而规划港区中均不在饮用水源保护区，其发生的溢油事故不会对区内的饮用水源保护区产生影响。</w:t>
      </w:r>
    </w:p>
    <w:p w:rsidR="005E49F7" w:rsidRDefault="005E49F7" w:rsidP="00D23914">
      <w:pPr>
        <w:pStyle w:val="11"/>
        <w:ind w:firstLine="31680"/>
      </w:pPr>
      <w:r>
        <w:rPr>
          <w:rFonts w:cs="宋体" w:hint="eastAsia"/>
        </w:rPr>
        <w:t>因此，即使在事故发生后，立即启动应急措施，利用下游电站将溢油阻隔，港区和下游电站之间仍会形成严重污染带。因此，为减轻溢油事故风险，应建立快速反应的溢油应急措施与计划。同时，应在港口支持系统后方陆域设置溢油应急基地，以提高梅州港港口污染事故防范和应急处置能力，维护水域的自然生态环境和饮用水源的安全。</w:t>
      </w:r>
    </w:p>
    <w:p w:rsidR="005E49F7" w:rsidRDefault="005E49F7">
      <w:pPr>
        <w:spacing w:line="360" w:lineRule="auto"/>
        <w:jc w:val="left"/>
        <w:outlineLvl w:val="2"/>
        <w:rPr>
          <w:rFonts w:ascii="宋体"/>
          <w:b/>
          <w:bCs/>
        </w:rPr>
      </w:pPr>
      <w:r>
        <w:rPr>
          <w:rFonts w:ascii="宋体" w:hAnsi="宋体" w:cs="宋体"/>
          <w:b/>
          <w:bCs/>
        </w:rPr>
        <w:t>3.3.3</w:t>
      </w:r>
      <w:r>
        <w:rPr>
          <w:rFonts w:ascii="宋体" w:hAnsi="宋体" w:cs="宋体" w:hint="eastAsia"/>
          <w:b/>
          <w:bCs/>
        </w:rPr>
        <w:t>风险事故防控与应急措施</w:t>
      </w:r>
    </w:p>
    <w:p w:rsidR="005E49F7" w:rsidRDefault="005E49F7" w:rsidP="00D23914">
      <w:pPr>
        <w:pStyle w:val="11"/>
        <w:ind w:firstLine="31680"/>
      </w:pPr>
      <w:r>
        <w:rPr>
          <w:rFonts w:cs="宋体" w:hint="eastAsia"/>
        </w:rPr>
        <w:t>我国在安全生产上一贯坚持“预防为主、安全第一”的方针，工作重点应放在预防上。在事故救援上实行“企业自救为主、社会救援为辅”的原则。事故的应急计划是根据工程风险源风险分析，制定的防止事故发生和减少事故发生的损失的计划。因此制定港区事故应急计划是十分必要的。</w:t>
      </w:r>
    </w:p>
    <w:p w:rsidR="005E49F7" w:rsidRDefault="005E49F7" w:rsidP="00D23914">
      <w:pPr>
        <w:pStyle w:val="3"/>
        <w:spacing w:beforeLines="0" w:afterLines="0"/>
        <w:ind w:firstLineChars="200" w:firstLine="31680"/>
        <w:outlineLvl w:val="3"/>
        <w:rPr>
          <w:color w:val="auto"/>
          <w:sz w:val="24"/>
          <w:szCs w:val="24"/>
        </w:rPr>
      </w:pPr>
      <w:r>
        <w:rPr>
          <w:color w:val="auto"/>
          <w:sz w:val="24"/>
          <w:szCs w:val="24"/>
        </w:rPr>
        <w:t>3.3.3.1</w:t>
      </w:r>
      <w:r>
        <w:rPr>
          <w:rFonts w:cs="宋体" w:hint="eastAsia"/>
          <w:color w:val="auto"/>
          <w:sz w:val="24"/>
          <w:szCs w:val="24"/>
        </w:rPr>
        <w:t>事故的预防措施</w:t>
      </w:r>
    </w:p>
    <w:p w:rsidR="005E49F7" w:rsidRDefault="005E49F7" w:rsidP="00D23914">
      <w:pPr>
        <w:pStyle w:val="11"/>
        <w:ind w:firstLine="31680"/>
      </w:pPr>
      <w:r>
        <w:t>1</w:t>
      </w:r>
      <w:r>
        <w:rPr>
          <w:rFonts w:cs="宋体" w:hint="eastAsia"/>
        </w:rPr>
        <w:t>．物料泄漏的防治</w:t>
      </w:r>
    </w:p>
    <w:p w:rsidR="005E49F7" w:rsidRDefault="005E49F7" w:rsidP="00D23914">
      <w:pPr>
        <w:pStyle w:val="11"/>
        <w:ind w:firstLine="31680"/>
      </w:pPr>
      <w:r>
        <w:rPr>
          <w:rFonts w:cs="宋体" w:hint="eastAsia"/>
        </w:rPr>
        <w:t>泄漏事故的防止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w:t>
      </w:r>
    </w:p>
    <w:p w:rsidR="005E49F7" w:rsidRDefault="005E49F7" w:rsidP="00D23914">
      <w:pPr>
        <w:pStyle w:val="11"/>
        <w:ind w:firstLine="31680"/>
      </w:pPr>
      <w:r>
        <w:rPr>
          <w:rFonts w:cs="宋体" w:hint="eastAsia"/>
        </w:rPr>
        <w:t>码头在装卸液体化工品作业时，要严格观礼，按章操作，尽量避免事故的发生；码头周边设凸边以防止液体化工物料污水直接流入江面，同时码头面以下设污水集水池，污水应送污水处理站集中处理后达标排放；码头应设置液体化工物料坑，对可能出现的少量漏液体化工物料进行集中处理。</w:t>
      </w:r>
    </w:p>
    <w:p w:rsidR="005E49F7" w:rsidRDefault="005E49F7" w:rsidP="00D23914">
      <w:pPr>
        <w:pStyle w:val="11"/>
        <w:ind w:firstLine="31680"/>
      </w:pPr>
      <w:r>
        <w:t>2</w:t>
      </w:r>
      <w:r>
        <w:rPr>
          <w:rFonts w:cs="宋体" w:hint="eastAsia"/>
        </w:rPr>
        <w:t>．油品、化学品泄漏的防护措施</w:t>
      </w:r>
    </w:p>
    <w:p w:rsidR="005E49F7" w:rsidRDefault="005E49F7" w:rsidP="00D23914">
      <w:pPr>
        <w:pStyle w:val="11"/>
        <w:ind w:firstLine="31680"/>
      </w:pPr>
      <w:r>
        <w:rPr>
          <w:rFonts w:cs="宋体" w:hint="eastAsia"/>
        </w:rPr>
        <w:t>当发生液体化工品泄漏时，工作人员应立即进入现场查找原因，并向有关部门汇报。预防产生明火而引起爆炸。如液体化工品已经流入韩江水体后，立即采取措施包围溢流液体化工物料，防止扩散，同时利用液体化学物料回收器收集浮物料和处理残余液体化工物料以防止对韩江水体的污染扩散。</w:t>
      </w:r>
    </w:p>
    <w:p w:rsidR="005E49F7" w:rsidRDefault="005E49F7" w:rsidP="00D23914">
      <w:pPr>
        <w:pStyle w:val="11"/>
        <w:ind w:firstLine="31680"/>
      </w:pPr>
      <w:r>
        <w:t>3</w:t>
      </w:r>
      <w:r>
        <w:rPr>
          <w:rFonts w:cs="宋体" w:hint="eastAsia"/>
        </w:rPr>
        <w:t>．火灾和爆炸的预防</w:t>
      </w:r>
    </w:p>
    <w:p w:rsidR="005E49F7" w:rsidRDefault="005E49F7" w:rsidP="00D23914">
      <w:pPr>
        <w:pStyle w:val="11"/>
        <w:ind w:firstLine="31680"/>
      </w:pPr>
      <w:r>
        <w:rPr>
          <w:rFonts w:cs="宋体" w:hint="eastAsia"/>
        </w:rPr>
        <w:t>（</w:t>
      </w:r>
      <w:r>
        <w:t>1</w:t>
      </w:r>
      <w:r>
        <w:rPr>
          <w:rFonts w:cs="宋体" w:hint="eastAsia"/>
        </w:rPr>
        <w:t>）设备的安全管理</w:t>
      </w:r>
    </w:p>
    <w:p w:rsidR="005E49F7" w:rsidRDefault="005E49F7" w:rsidP="00D23914">
      <w:pPr>
        <w:pStyle w:val="11"/>
        <w:ind w:firstLine="31680"/>
      </w:pPr>
      <w:r>
        <w:rPr>
          <w:rFonts w:cs="宋体" w:hint="eastAsia"/>
        </w:rPr>
        <w:t>定期对设备进行安全检测，检测内容、时间、人员应有记录保存。安全检测应根据设备的安全性、危险性设定检测频次。</w:t>
      </w:r>
    </w:p>
    <w:p w:rsidR="005E49F7" w:rsidRDefault="005E49F7" w:rsidP="00D23914">
      <w:pPr>
        <w:pStyle w:val="11"/>
        <w:ind w:firstLine="31680"/>
      </w:pPr>
      <w:r>
        <w:rPr>
          <w:rFonts w:cs="宋体" w:hint="eastAsia"/>
        </w:rPr>
        <w:t>（</w:t>
      </w:r>
      <w:r>
        <w:t>2</w:t>
      </w:r>
      <w:r>
        <w:rPr>
          <w:rFonts w:cs="宋体" w:hint="eastAsia"/>
        </w:rPr>
        <w:t>）控制液体化工物料输送流速，禁止高速输送，减少管道与物料之间摩擦，减少静电的产生。</w:t>
      </w:r>
    </w:p>
    <w:p w:rsidR="005E49F7" w:rsidRDefault="005E49F7" w:rsidP="00D23914">
      <w:pPr>
        <w:pStyle w:val="11"/>
        <w:ind w:firstLine="31680"/>
      </w:pPr>
      <w:r>
        <w:rPr>
          <w:rFonts w:cs="宋体" w:hint="eastAsia"/>
        </w:rPr>
        <w:t>（</w:t>
      </w:r>
      <w:r>
        <w:t>3</w:t>
      </w:r>
      <w:r>
        <w:rPr>
          <w:rFonts w:cs="宋体" w:hint="eastAsia"/>
        </w:rPr>
        <w:t>）火源的管理</w:t>
      </w:r>
    </w:p>
    <w:p w:rsidR="005E49F7" w:rsidRDefault="005E49F7" w:rsidP="00D23914">
      <w:pPr>
        <w:pStyle w:val="11"/>
        <w:ind w:firstLine="31680"/>
      </w:pPr>
      <w:r>
        <w:rPr>
          <w:rFonts w:cs="宋体" w:hint="eastAsia"/>
        </w:rPr>
        <w:t>明火控制，其发生源为火柴、打火机等，维修用火控制，对设备维修检查，需进行维修焊接，应经安全部门确认、准许，并有记录在案。汽车、拖拉机等机动车在厂内行驶，须安装阻火器，必要设备安装防火、防爆装置。</w:t>
      </w:r>
    </w:p>
    <w:p w:rsidR="005E49F7" w:rsidRDefault="005E49F7" w:rsidP="00D23914">
      <w:pPr>
        <w:pStyle w:val="3"/>
        <w:spacing w:beforeLines="0" w:afterLines="0"/>
        <w:ind w:firstLineChars="200" w:firstLine="31680"/>
        <w:outlineLvl w:val="3"/>
        <w:rPr>
          <w:color w:val="auto"/>
          <w:sz w:val="24"/>
          <w:szCs w:val="24"/>
        </w:rPr>
      </w:pPr>
      <w:r>
        <w:rPr>
          <w:color w:val="auto"/>
          <w:sz w:val="24"/>
          <w:szCs w:val="24"/>
        </w:rPr>
        <w:t>3.3.3.2</w:t>
      </w:r>
      <w:r>
        <w:rPr>
          <w:rFonts w:cs="宋体" w:hint="eastAsia"/>
          <w:color w:val="auto"/>
          <w:sz w:val="24"/>
          <w:szCs w:val="24"/>
        </w:rPr>
        <w:t>事故救援指挥决策系统</w:t>
      </w:r>
    </w:p>
    <w:p w:rsidR="005E49F7" w:rsidRDefault="005E49F7" w:rsidP="00D23914">
      <w:pPr>
        <w:pStyle w:val="11"/>
        <w:ind w:firstLine="31680"/>
      </w:pPr>
      <w:r>
        <w:rPr>
          <w:rFonts w:cs="宋体" w:hint="eastAsia"/>
        </w:rPr>
        <w:t>事故救援指挥系统是应付紧急事故发生后进行事故救援处理的体系，该系统对事故发生后作出迅速反应，及时处理事故，果断决策，减少事故损失是十分必要的。它包括组织体系、通讯联络、人员救护等方面的内容。因此在项目投产后应着手制订这方面的预案。</w:t>
      </w:r>
    </w:p>
    <w:p w:rsidR="005E49F7" w:rsidRDefault="005E49F7" w:rsidP="00D23914">
      <w:pPr>
        <w:pStyle w:val="11"/>
        <w:ind w:firstLine="31680"/>
      </w:pPr>
      <w:r>
        <w:t>1</w:t>
      </w:r>
      <w:r>
        <w:rPr>
          <w:rFonts w:cs="宋体" w:hint="eastAsia"/>
        </w:rPr>
        <w:t>．组织体系</w:t>
      </w:r>
    </w:p>
    <w:p w:rsidR="005E49F7" w:rsidRDefault="005E49F7" w:rsidP="00D23914">
      <w:pPr>
        <w:pStyle w:val="11"/>
        <w:ind w:firstLine="31680"/>
      </w:pPr>
      <w:r>
        <w:rPr>
          <w:rFonts w:cs="宋体" w:hint="eastAsia"/>
        </w:rPr>
        <w:t>成立应急救援指挥部及应急救援小组，专人负责防护器材的配给和现场救援，各职能部门对化学毒物管理、事故急救，各负其责。</w:t>
      </w:r>
    </w:p>
    <w:p w:rsidR="005E49F7" w:rsidRDefault="005E49F7" w:rsidP="00D23914">
      <w:pPr>
        <w:pStyle w:val="11"/>
        <w:ind w:firstLine="31680"/>
      </w:pPr>
      <w:r>
        <w:t>2</w:t>
      </w:r>
      <w:r>
        <w:rPr>
          <w:rFonts w:cs="宋体" w:hint="eastAsia"/>
        </w:rPr>
        <w:t>．通讯联络</w:t>
      </w:r>
    </w:p>
    <w:p w:rsidR="005E49F7" w:rsidRDefault="005E49F7" w:rsidP="00D23914">
      <w:pPr>
        <w:pStyle w:val="11"/>
        <w:ind w:firstLine="31680"/>
      </w:pPr>
      <w:r>
        <w:rPr>
          <w:rFonts w:cs="宋体" w:hint="eastAsia"/>
        </w:rPr>
        <w:t>应保证通讯信息畅通无阻。在制订的预案中应明确负责人及联络电话，对外联络中枢以及社会上各救援机构联系电话，如救护总站、消防队电话等。通讯联络决定事故发生时的快速反应能力。</w:t>
      </w:r>
    </w:p>
    <w:p w:rsidR="005E49F7" w:rsidRDefault="005E49F7" w:rsidP="00D23914">
      <w:pPr>
        <w:pStyle w:val="11"/>
        <w:ind w:firstLine="31680"/>
      </w:pPr>
      <w:r>
        <w:rPr>
          <w:rFonts w:cs="宋体" w:hint="eastAsia"/>
        </w:rPr>
        <w:t>通讯联络不仅在白天和正常工作日快速畅通，而且要做到在深夜和节假日都能快速联络。</w:t>
      </w:r>
    </w:p>
    <w:p w:rsidR="005E49F7" w:rsidRDefault="005E49F7" w:rsidP="00D23914">
      <w:pPr>
        <w:pStyle w:val="3"/>
        <w:spacing w:beforeLines="0" w:afterLines="0"/>
        <w:ind w:firstLineChars="200" w:firstLine="31680"/>
        <w:outlineLvl w:val="3"/>
        <w:rPr>
          <w:color w:val="auto"/>
          <w:sz w:val="24"/>
          <w:szCs w:val="24"/>
        </w:rPr>
      </w:pPr>
      <w:r>
        <w:rPr>
          <w:color w:val="auto"/>
          <w:sz w:val="24"/>
          <w:szCs w:val="24"/>
        </w:rPr>
        <w:t>3.3.3.3</w:t>
      </w:r>
      <w:r>
        <w:rPr>
          <w:rFonts w:cs="宋体" w:hint="eastAsia"/>
          <w:color w:val="auto"/>
          <w:sz w:val="24"/>
          <w:szCs w:val="24"/>
        </w:rPr>
        <w:t>港区风险事故应急措施</w:t>
      </w:r>
    </w:p>
    <w:p w:rsidR="005E49F7" w:rsidRDefault="005E49F7" w:rsidP="00D23914">
      <w:pPr>
        <w:pStyle w:val="11"/>
        <w:ind w:firstLine="31680"/>
      </w:pPr>
      <w:r>
        <w:t>1</w:t>
      </w:r>
      <w:r>
        <w:rPr>
          <w:rFonts w:cs="宋体" w:hint="eastAsia"/>
        </w:rPr>
        <w:t>．建立突发性事故的应急机构</w:t>
      </w:r>
    </w:p>
    <w:p w:rsidR="005E49F7" w:rsidRDefault="005E49F7" w:rsidP="00D23914">
      <w:pPr>
        <w:pStyle w:val="11"/>
        <w:ind w:firstLine="31680"/>
      </w:pPr>
      <w:r>
        <w:rPr>
          <w:rFonts w:cs="宋体" w:hint="eastAsia"/>
        </w:rPr>
        <w:t>本项目应建立由码头、工作船队、消防、环保等部门负责人及专职人员组成的应急机构，负责准备和编制处置突发性事故的应急程序和计划。</w:t>
      </w:r>
    </w:p>
    <w:p w:rsidR="005E49F7" w:rsidRDefault="005E49F7" w:rsidP="00D23914">
      <w:pPr>
        <w:pStyle w:val="11"/>
        <w:ind w:firstLine="31680"/>
      </w:pPr>
      <w:r>
        <w:rPr>
          <w:rFonts w:cs="宋体" w:hint="eastAsia"/>
        </w:rPr>
        <w:t>要适时组织临灾演习，培养操作人员对突发性事故的应变能力。</w:t>
      </w:r>
    </w:p>
    <w:p w:rsidR="005E49F7" w:rsidRDefault="005E49F7" w:rsidP="00D23914">
      <w:pPr>
        <w:pStyle w:val="11"/>
        <w:ind w:firstLine="31680"/>
      </w:pPr>
      <w:r>
        <w:t>2</w:t>
      </w:r>
      <w:r>
        <w:rPr>
          <w:rFonts w:cs="宋体" w:hint="eastAsia"/>
        </w:rPr>
        <w:t>．应急组织必须每季或半年召开一次会议，检查应急设备、器材是否完好，应急状态通讯设施能否畅通，发生重大事故时请求有关部门支援的渠道是否通畅。</w:t>
      </w:r>
    </w:p>
    <w:p w:rsidR="005E49F7" w:rsidRDefault="005E49F7" w:rsidP="00D23914">
      <w:pPr>
        <w:pStyle w:val="11"/>
        <w:ind w:firstLine="31680"/>
      </w:pPr>
      <w:r>
        <w:t>3</w:t>
      </w:r>
      <w:r>
        <w:rPr>
          <w:rFonts w:cs="宋体" w:hint="eastAsia"/>
        </w:rPr>
        <w:t>．每</w:t>
      </w:r>
      <w:r>
        <w:t>1~2</w:t>
      </w:r>
      <w:r>
        <w:rPr>
          <w:rFonts w:cs="宋体" w:hint="eastAsia"/>
        </w:rPr>
        <w:t>年进行一次应急演习，在模拟的事故状态下，检查应急机构，应急队伍，应急设备和器材</w:t>
      </w:r>
      <w:r>
        <w:t xml:space="preserve"> </w:t>
      </w:r>
      <w:r>
        <w:rPr>
          <w:rFonts w:cs="宋体" w:hint="eastAsia"/>
        </w:rPr>
        <w:t>，应急通讯等各方面的实战船能力。通过演习，发现工作中薄弱环节，并修改、完善应急计划。</w:t>
      </w:r>
    </w:p>
    <w:p w:rsidR="005E49F7" w:rsidRDefault="005E49F7" w:rsidP="00D23914">
      <w:pPr>
        <w:pStyle w:val="11"/>
        <w:ind w:firstLine="31680"/>
      </w:pPr>
      <w:r>
        <w:rPr>
          <w:rFonts w:cs="宋体" w:hint="eastAsia"/>
        </w:rPr>
        <w:t>如一旦在码头前沿发生溢油或危险性货物泄漏事故，原则上应由本企业应急机构自行处理；如在航道上发生溢油或危险性货物泄漏事故，则应及时报告上一级应急机构协同处置。</w:t>
      </w:r>
    </w:p>
    <w:p w:rsidR="005E49F7" w:rsidRDefault="005E49F7" w:rsidP="00D23914">
      <w:pPr>
        <w:pStyle w:val="11"/>
        <w:ind w:firstLine="31680"/>
      </w:pPr>
      <w:r>
        <w:t>4</w:t>
      </w:r>
      <w:r>
        <w:rPr>
          <w:rFonts w:cs="宋体" w:hint="eastAsia"/>
        </w:rPr>
        <w:t>．加强码头装卸作业的科学管理</w:t>
      </w:r>
    </w:p>
    <w:p w:rsidR="005E49F7" w:rsidRDefault="005E49F7" w:rsidP="00D23914">
      <w:pPr>
        <w:pStyle w:val="11"/>
        <w:ind w:firstLine="31680"/>
      </w:pPr>
      <w:r>
        <w:rPr>
          <w:rFonts w:cs="宋体" w:hint="eastAsia"/>
        </w:rPr>
        <w:t>在装卸物料作业前，供、受双方必须对各项目、各环节逐一进行认真检查，只有在双方确认可靠无误的前提下方可实施作业。</w:t>
      </w:r>
    </w:p>
    <w:p w:rsidR="005E49F7" w:rsidRDefault="005E49F7" w:rsidP="00D23914">
      <w:pPr>
        <w:pStyle w:val="11"/>
        <w:ind w:firstLine="31680"/>
      </w:pPr>
      <w:r>
        <w:t>5</w:t>
      </w:r>
      <w:r>
        <w:rPr>
          <w:rFonts w:cs="宋体" w:hint="eastAsia"/>
        </w:rPr>
        <w:t>．配备应急设施和建立应急扑救程序</w:t>
      </w:r>
    </w:p>
    <w:p w:rsidR="005E49F7" w:rsidRDefault="005E49F7" w:rsidP="00D23914">
      <w:pPr>
        <w:pStyle w:val="11"/>
        <w:ind w:firstLine="31680"/>
      </w:pPr>
      <w:r>
        <w:rPr>
          <w:rFonts w:cs="宋体" w:hint="eastAsia"/>
        </w:rPr>
        <w:t>应配备相应的应急救护器材与设备。</w:t>
      </w:r>
    </w:p>
    <w:p w:rsidR="005E49F7" w:rsidRDefault="005E49F7" w:rsidP="00D23914">
      <w:pPr>
        <w:pStyle w:val="3"/>
        <w:spacing w:beforeLines="0" w:afterLines="0"/>
        <w:ind w:firstLineChars="200" w:firstLine="31680"/>
        <w:outlineLvl w:val="3"/>
        <w:rPr>
          <w:color w:val="auto"/>
          <w:sz w:val="24"/>
          <w:szCs w:val="24"/>
        </w:rPr>
      </w:pPr>
      <w:r>
        <w:rPr>
          <w:color w:val="auto"/>
          <w:sz w:val="24"/>
          <w:szCs w:val="24"/>
        </w:rPr>
        <w:t>3.3.3.4</w:t>
      </w:r>
      <w:r>
        <w:rPr>
          <w:rFonts w:cs="宋体" w:hint="eastAsia"/>
          <w:color w:val="auto"/>
          <w:sz w:val="24"/>
          <w:szCs w:val="24"/>
        </w:rPr>
        <w:t>饮用水源保护区风险事故应急措施</w:t>
      </w:r>
    </w:p>
    <w:p w:rsidR="005E49F7" w:rsidRDefault="005E49F7" w:rsidP="00D23914">
      <w:pPr>
        <w:pStyle w:val="ad"/>
        <w:spacing w:beforeLines="0" w:afterLines="0"/>
        <w:ind w:firstLine="31680"/>
      </w:pPr>
      <w:r>
        <w:t>1</w:t>
      </w:r>
      <w:r>
        <w:rPr>
          <w:rFonts w:cs="黑体" w:hint="eastAsia"/>
        </w:rPr>
        <w:t>、指导原则</w:t>
      </w:r>
    </w:p>
    <w:p w:rsidR="005E49F7" w:rsidRDefault="005E49F7" w:rsidP="00D23914">
      <w:pPr>
        <w:pStyle w:val="11"/>
        <w:ind w:firstLine="31680"/>
      </w:pPr>
      <w:r>
        <w:rPr>
          <w:rFonts w:cs="宋体" w:hint="eastAsia"/>
        </w:rPr>
        <w:t>梅州市饮用水源保护区风险事故应急对策应按照“以人为本，饮用水源保护优先”的指导思想，遵循预防为主、常备不懈的方针，以市级管理为主，区（县）政府配合的前提下，贯彻统一领导、分级负责、及时反应、加强配合的原则，规范和强化饮用水源保护区应急处置工作，形成并完善饮用水源污染事故应急处置体系。</w:t>
      </w:r>
    </w:p>
    <w:p w:rsidR="005E49F7" w:rsidRDefault="005E49F7" w:rsidP="00D23914">
      <w:pPr>
        <w:pStyle w:val="ad"/>
        <w:spacing w:beforeLines="0" w:afterLines="0"/>
        <w:ind w:firstLine="31680"/>
      </w:pPr>
      <w:r>
        <w:t>2</w:t>
      </w:r>
      <w:r>
        <w:rPr>
          <w:rFonts w:cs="黑体" w:hint="eastAsia"/>
        </w:rPr>
        <w:t>、组织领导机构及职责</w:t>
      </w:r>
    </w:p>
    <w:p w:rsidR="005E49F7" w:rsidRDefault="005E49F7" w:rsidP="00D23914">
      <w:pPr>
        <w:pStyle w:val="11"/>
        <w:ind w:firstLine="31680"/>
      </w:pPr>
      <w:r>
        <w:rPr>
          <w:rFonts w:cs="宋体" w:hint="eastAsia"/>
        </w:rPr>
        <w:t>各区县成立饮用水源保护区环境污染事件应急领导小组（简称应急领导小组）</w:t>
      </w:r>
      <w:r>
        <w:t>,</w:t>
      </w:r>
      <w:r>
        <w:rPr>
          <w:rFonts w:cs="宋体" w:hint="eastAsia"/>
        </w:rPr>
        <w:t>由区（县）政府负责人牵头，区（县）政府办、区（县）环保部门、区（县）安监部门、区（县）卫生部门、区（县）执法部门、区（县）园林部门、公安分局、饮用水源保护区所在镇等有关部门为成员单位。应急领导小组下设应急现场指挥部和办公室。</w:t>
      </w:r>
    </w:p>
    <w:p w:rsidR="005E49F7" w:rsidRDefault="005E49F7" w:rsidP="00D23914">
      <w:pPr>
        <w:pStyle w:val="ad"/>
        <w:spacing w:beforeLines="0" w:afterLines="0"/>
        <w:ind w:firstLine="31680"/>
      </w:pPr>
      <w:r>
        <w:t>3</w:t>
      </w:r>
      <w:r>
        <w:rPr>
          <w:rFonts w:cs="黑体" w:hint="eastAsia"/>
        </w:rPr>
        <w:t>、应急现场指挥部及其职责</w:t>
      </w:r>
    </w:p>
    <w:p w:rsidR="005E49F7" w:rsidRDefault="005E49F7" w:rsidP="00D23914">
      <w:pPr>
        <w:pStyle w:val="111"/>
        <w:ind w:firstLine="31680"/>
      </w:pPr>
      <w:r>
        <w:rPr>
          <w:rFonts w:cs="宋体" w:hint="eastAsia"/>
        </w:rPr>
        <w:t>应急现场指挥部负责饮用水源环境污染事故应急处置的现场指挥。预案启动后，应急领导小组办公室立即通知有关成员单位和职能部门赶赴现场，应急现场指挥部负责组织开展应急处置工作。现场指挥部下设相关工作组立即展开现场调查；组织开展现场应急监测，及时向现场指挥部提供监测报告，确定污染原因、污染类型及污染程度；根据调查和监测结果，分析污染事件影响范围，向应急领导小组提出应急处置建议；立即切断污染源；按应急领导小组要求，督促和协调相关部门和单位实施应急处置措施；紧急调集和征集有关人员、物资、交通工具以及相关设备、装备；进行现场隔离、受污染区域的确定与封锁；组织区政府各职能部门、按各自的职责实施对原厝水源保护区的管理和救援；根据污染事件的性质、特点，向群众告知应采用的安全防护措施，做好舆论宣传工作；在事发地安全边界以外，设立紧急避难场所；根据事发时当地的气象、地理环境、人员密集度等，确定群众疏散的方式，组织群众安全疏散撤离。必要时按照有关规定和程序报请上级应急领导小组予以支持，保证突发环境事件应急处置工作的顺利进行。</w:t>
      </w:r>
    </w:p>
    <w:p w:rsidR="005E49F7" w:rsidRDefault="005E49F7" w:rsidP="00D23914">
      <w:pPr>
        <w:pStyle w:val="111"/>
        <w:ind w:firstLine="31680"/>
      </w:pPr>
      <w:r>
        <w:t>4</w:t>
      </w:r>
      <w:r>
        <w:rPr>
          <w:rFonts w:cs="宋体" w:hint="eastAsia"/>
        </w:rPr>
        <w:t>、突发水源污染事件的监测预警</w:t>
      </w:r>
    </w:p>
    <w:p w:rsidR="005E49F7" w:rsidRDefault="005E49F7" w:rsidP="00D23914">
      <w:pPr>
        <w:pStyle w:val="111"/>
        <w:ind w:firstLine="31680"/>
      </w:pPr>
      <w:r>
        <w:rPr>
          <w:rFonts w:cs="宋体" w:hint="eastAsia"/>
        </w:rPr>
        <w:t>各区（县）环保部门日常要协调、督促各水厂按照规定和要求，严格做好入厂水和出厂水的水质常规监测，并加强对水源保护区的巡查，发现问题及时上报。</w:t>
      </w:r>
    </w:p>
    <w:p w:rsidR="005E49F7" w:rsidRDefault="005E49F7" w:rsidP="00D23914">
      <w:pPr>
        <w:pStyle w:val="ad"/>
        <w:spacing w:beforeLines="0" w:afterLines="0"/>
        <w:ind w:firstLine="31680"/>
      </w:pPr>
      <w:r>
        <w:t>5</w:t>
      </w:r>
      <w:r>
        <w:rPr>
          <w:rFonts w:cs="黑体" w:hint="eastAsia"/>
        </w:rPr>
        <w:t>、突发水源污染事故相应程序</w:t>
      </w:r>
    </w:p>
    <w:p w:rsidR="005E49F7" w:rsidRDefault="005E49F7" w:rsidP="00D23914">
      <w:pPr>
        <w:pStyle w:val="111"/>
        <w:ind w:firstLine="31680"/>
      </w:pPr>
      <w:r>
        <w:rPr>
          <w:rFonts w:cs="宋体" w:hint="eastAsia"/>
        </w:rPr>
        <w:t>（一）迅速报告区环保部门、饮用水源保护区所在（区）镇在接到事故报警后，值班人员必须详细做好记录，包括时间、地点、人物、事件及其状况，同时予以核实。在</w:t>
      </w:r>
      <w:r>
        <w:t>1</w:t>
      </w:r>
      <w:r>
        <w:rPr>
          <w:rFonts w:cs="宋体" w:hint="eastAsia"/>
        </w:rPr>
        <w:t>小时内向饮用水源保护污染事故应急指挥部办公室报告。由应急指挥部办公室在</w:t>
      </w:r>
      <w:r>
        <w:t>2</w:t>
      </w:r>
      <w:r>
        <w:rPr>
          <w:rFonts w:cs="宋体" w:hint="eastAsia"/>
        </w:rPr>
        <w:t>小时内向区政府和上级机关（省、市应急指挥部办公室）报告，必要时在</w:t>
      </w:r>
      <w:r>
        <w:t>2</w:t>
      </w:r>
      <w:r>
        <w:rPr>
          <w:rFonts w:cs="宋体" w:hint="eastAsia"/>
        </w:rPr>
        <w:t>小时内通知下游相关市（区）采取必要的措施，以便及时采取措施，降低损害程度。</w:t>
      </w:r>
    </w:p>
    <w:p w:rsidR="005E49F7" w:rsidRDefault="005E49F7" w:rsidP="00D23914">
      <w:pPr>
        <w:pStyle w:val="111"/>
        <w:ind w:firstLine="31680"/>
      </w:pPr>
      <w:r>
        <w:rPr>
          <w:rFonts w:cs="宋体" w:hint="eastAsia"/>
        </w:rPr>
        <w:t>（二）快速出动接到报告后，应急现场指挥部率应急人员，携带污染事故专用应急监察、监测设备，在最短时间内赶赴现场，应急现场指挥部同时通知环境或卫生监测部门，组织应急监测小组赶赴现场监测污染情况。</w:t>
      </w:r>
    </w:p>
    <w:p w:rsidR="005E49F7" w:rsidRDefault="005E49F7" w:rsidP="00D23914">
      <w:pPr>
        <w:pStyle w:val="111"/>
        <w:ind w:firstLine="31680"/>
      </w:pPr>
      <w:r>
        <w:rPr>
          <w:rFonts w:cs="宋体" w:hint="eastAsia"/>
        </w:rPr>
        <w:t>（三）现场控制应急现场指挥部应对现场进行控制和处理，尽可能减少污染物产生、扩散；并根据现场勘验情况，配合划定警戒线范围，禁止无关人员靠近。</w:t>
      </w:r>
    </w:p>
    <w:p w:rsidR="005E49F7" w:rsidRDefault="005E49F7" w:rsidP="00D23914">
      <w:pPr>
        <w:pStyle w:val="111"/>
        <w:ind w:firstLine="31680"/>
      </w:pPr>
      <w:r>
        <w:rPr>
          <w:rFonts w:cs="宋体" w:hint="eastAsia"/>
        </w:rPr>
        <w:t>（四）现场调查现场调查处理需根据事件的类别、性质作具体处理。总体步骤如下：</w:t>
      </w:r>
      <w:r>
        <w:t>1</w:t>
      </w:r>
      <w:r>
        <w:rPr>
          <w:rFonts w:cs="宋体" w:hint="eastAsia"/>
        </w:rPr>
        <w:t>、了解事件的情况，包括污染发生的时间、地点、经过和可能原因、污染来源及可能污染物、污染途径及波及范围、污染暴露人群数量及分布、当地饮用水源类型及人口分布、疾病的分布以及发生后当地处理情况。</w:t>
      </w:r>
      <w:r>
        <w:t>2</w:t>
      </w:r>
      <w:r>
        <w:rPr>
          <w:rFonts w:cs="宋体" w:hint="eastAsia"/>
        </w:rPr>
        <w:t>、形成初步判断，确定污染种类。</w:t>
      </w:r>
      <w:r>
        <w:t>3</w:t>
      </w:r>
      <w:r>
        <w:rPr>
          <w:rFonts w:cs="宋体" w:hint="eastAsia"/>
        </w:rPr>
        <w:t>、开展现场调查工作。寻找污染源，通过对事故现场的监察、监测、拍照、摄像、录音及个案分析，全面掌握事故现场的特点，根据各方面因素，寻求因果关系，做好现场调查记录和取证工作。</w:t>
      </w:r>
      <w:r>
        <w:t>4</w:t>
      </w:r>
      <w:r>
        <w:rPr>
          <w:rFonts w:cs="宋体" w:hint="eastAsia"/>
        </w:rPr>
        <w:t>、提出调查分析和处置方案。应急现场指挥部根据现场调查和查阅有关资料并参考专家意见，提出调查分析结论，制定污染处置方案，向应急领导小组汇报，对事故影响范围内的污染物进行处理处置，以减少污染。应急指挥部将现场调查报告及处置措施报上级有关部门，并根据事故影响范围大小，决定是否增调有关专家、人员、设备、物资前往现场增援。</w:t>
      </w:r>
    </w:p>
    <w:p w:rsidR="005E49F7" w:rsidRDefault="005E49F7" w:rsidP="00D23914">
      <w:pPr>
        <w:pStyle w:val="111"/>
        <w:ind w:firstLine="31680"/>
      </w:pPr>
      <w:r>
        <w:rPr>
          <w:rFonts w:cs="宋体" w:hint="eastAsia"/>
        </w:rPr>
        <w:t>（五）污染处置。</w:t>
      </w:r>
      <w:r>
        <w:t>1</w:t>
      </w:r>
      <w:r>
        <w:rPr>
          <w:rFonts w:cs="宋体" w:hint="eastAsia"/>
        </w:rPr>
        <w:t>、及时救治病人。</w:t>
      </w:r>
      <w:r>
        <w:t>2</w:t>
      </w:r>
      <w:r>
        <w:rPr>
          <w:rFonts w:cs="宋体" w:hint="eastAsia"/>
        </w:rPr>
        <w:t>、采取控制措施。自来水公司采取停水、减压供水、改路供水，通知沿途居民停止取水、用水，启用备用水源；水利部门采取有效措施，开关相关的闸口，将受污染水体疏导排放至安全区域，从上游紧急调用水源，稀释污染，降低污染物浓度和影响程度。</w:t>
      </w:r>
      <w:r>
        <w:t>3</w:t>
      </w:r>
      <w:r>
        <w:rPr>
          <w:rFonts w:cs="宋体" w:hint="eastAsia"/>
        </w:rPr>
        <w:t>、加强监测，掌握污染动态。</w:t>
      </w:r>
    </w:p>
    <w:p w:rsidR="005E49F7" w:rsidRDefault="005E49F7" w:rsidP="00D23914">
      <w:pPr>
        <w:pStyle w:val="111"/>
        <w:ind w:firstLine="31680"/>
      </w:pPr>
      <w:r>
        <w:rPr>
          <w:rFonts w:cs="宋体" w:hint="eastAsia"/>
        </w:rPr>
        <w:t>（六）污染警戒区域划定和消息发布根据污染监测数据和现场调查，应急现场指挥部拟定污染警戒区域（划定禁止取水区域或居住区域），向应急指挥报告后发布警报决定。召开事故处理分析会，确定对外宣传统一口径，指派专人对新闻媒体发布污染事故消息。</w:t>
      </w:r>
    </w:p>
    <w:p w:rsidR="005E49F7" w:rsidRDefault="005E49F7" w:rsidP="00D23914">
      <w:pPr>
        <w:pStyle w:val="111"/>
        <w:ind w:firstLine="31680"/>
      </w:pPr>
      <w:r>
        <w:rPr>
          <w:rFonts w:cs="宋体" w:hint="eastAsia"/>
        </w:rPr>
        <w:t>（七）污染跟踪应急现场指挥部要根据监测数据和其他有关数据编制分析图表，预测污染迁移强度、速度和影响范围，进行跟踪调查，及时调整对策。每</w:t>
      </w:r>
      <w:r>
        <w:t>24</w:t>
      </w:r>
      <w:r>
        <w:rPr>
          <w:rFonts w:cs="宋体" w:hint="eastAsia"/>
        </w:rPr>
        <w:t>小时向上级部门报告一次污染事故处理动态和下一步对策，直至污染事故警报解除。</w:t>
      </w:r>
    </w:p>
    <w:p w:rsidR="005E49F7" w:rsidRDefault="005E49F7" w:rsidP="00D23914">
      <w:pPr>
        <w:pStyle w:val="111"/>
        <w:ind w:firstLine="31680"/>
      </w:pPr>
      <w:r>
        <w:rPr>
          <w:rFonts w:cs="宋体" w:hint="eastAsia"/>
        </w:rPr>
        <w:t>（八）处罚。环保、卫生、安监、建设、公安等部门根据《中华人民共和国水污染防治法》、《中华人民共和国传染病防治法》、《中华人民共和国刑法》、国务院《突发公共卫生事件应急条例》、《广东省韩江水系水质保护条例》、《广东省饮用水源水质保护条例》、《生活饮用水卫生监督管理办法》等法律、法规规定对事故单位和责任人实施行政处罚和刑事责任追究。</w:t>
      </w:r>
    </w:p>
    <w:p w:rsidR="005E49F7" w:rsidRDefault="005E49F7" w:rsidP="00D23914">
      <w:pPr>
        <w:pStyle w:val="111"/>
        <w:ind w:firstLine="31680"/>
      </w:pPr>
      <w:r>
        <w:rPr>
          <w:rFonts w:cs="宋体" w:hint="eastAsia"/>
        </w:rPr>
        <w:t>（九）事件处理总结报告负责实施行政处罚的职能部门将事故处理情况向上级主管部门写出总结报告，并做好案件归档工作。</w:t>
      </w:r>
    </w:p>
    <w:p w:rsidR="005E49F7" w:rsidRDefault="005E49F7">
      <w:pPr>
        <w:spacing w:line="360" w:lineRule="auto"/>
        <w:jc w:val="left"/>
        <w:outlineLvl w:val="1"/>
        <w:rPr>
          <w:rFonts w:ascii="宋体"/>
          <w:b/>
          <w:bCs/>
          <w:sz w:val="28"/>
          <w:szCs w:val="28"/>
        </w:rPr>
      </w:pPr>
      <w:bookmarkStart w:id="45" w:name="_Toc28174"/>
      <w:r>
        <w:rPr>
          <w:rFonts w:ascii="宋体" w:hAnsi="宋体" w:cs="宋体"/>
          <w:b/>
          <w:bCs/>
          <w:sz w:val="28"/>
          <w:szCs w:val="28"/>
        </w:rPr>
        <w:t>3.4</w:t>
      </w:r>
      <w:r>
        <w:rPr>
          <w:rFonts w:ascii="宋体" w:hAnsi="宋体" w:cs="宋体" w:hint="eastAsia"/>
          <w:b/>
          <w:bCs/>
          <w:sz w:val="28"/>
          <w:szCs w:val="28"/>
        </w:rPr>
        <w:t>环境监测与跟踪评价计划</w:t>
      </w:r>
      <w:bookmarkEnd w:id="45"/>
    </w:p>
    <w:p w:rsidR="005E49F7" w:rsidRDefault="005E49F7" w:rsidP="00D23914">
      <w:pPr>
        <w:pStyle w:val="11"/>
        <w:ind w:firstLine="31680"/>
      </w:pPr>
      <w:r>
        <w:rPr>
          <w:rFonts w:cs="宋体" w:hint="eastAsia"/>
        </w:rPr>
        <w:t>为了及时了解和掌握梅州港规划实施中带来的主要环境影响，有效保护梅州市环境质量，须对梅州港带来的环境影响进行密切监控。梅州港环境监控计划根据规划范围，拟在规划范围河段内选取具有代表性的河段，作为本次监测规划的点位。基础环境信息进行采集和分析，将其反馈进入跟踪评价，为梅州港规划的进一步实施提供依据。</w:t>
      </w:r>
    </w:p>
    <w:p w:rsidR="005E49F7" w:rsidRDefault="005E49F7">
      <w:pPr>
        <w:spacing w:line="360" w:lineRule="auto"/>
        <w:jc w:val="left"/>
        <w:outlineLvl w:val="0"/>
        <w:rPr>
          <w:rFonts w:ascii="宋体"/>
          <w:b/>
          <w:bCs/>
          <w:sz w:val="28"/>
          <w:szCs w:val="28"/>
        </w:rPr>
      </w:pPr>
      <w:bookmarkStart w:id="46" w:name="_Toc30548"/>
      <w:r>
        <w:rPr>
          <w:rFonts w:ascii="宋体"/>
          <w:b/>
          <w:bCs/>
          <w:sz w:val="28"/>
          <w:szCs w:val="28"/>
        </w:rPr>
        <w:br w:type="page"/>
      </w:r>
    </w:p>
    <w:p w:rsidR="005E49F7" w:rsidRDefault="005E49F7">
      <w:pPr>
        <w:spacing w:line="360" w:lineRule="auto"/>
        <w:jc w:val="left"/>
        <w:outlineLvl w:val="0"/>
        <w:rPr>
          <w:rFonts w:ascii="宋体"/>
          <w:b/>
          <w:bCs/>
          <w:sz w:val="28"/>
          <w:szCs w:val="28"/>
        </w:rPr>
      </w:pPr>
      <w:bookmarkStart w:id="47" w:name="_GoBack"/>
      <w:bookmarkEnd w:id="47"/>
      <w:r>
        <w:rPr>
          <w:rFonts w:ascii="宋体" w:hAnsi="宋体" w:cs="宋体"/>
          <w:b/>
          <w:bCs/>
          <w:sz w:val="28"/>
          <w:szCs w:val="28"/>
        </w:rPr>
        <w:t>4</w:t>
      </w:r>
      <w:r>
        <w:rPr>
          <w:rFonts w:ascii="宋体" w:hAnsi="宋体" w:cs="宋体" w:hint="eastAsia"/>
          <w:b/>
          <w:bCs/>
          <w:sz w:val="28"/>
          <w:szCs w:val="28"/>
        </w:rPr>
        <w:t>公众参与</w:t>
      </w:r>
      <w:bookmarkEnd w:id="46"/>
    </w:p>
    <w:p w:rsidR="005E49F7" w:rsidRDefault="005E49F7">
      <w:pPr>
        <w:spacing w:line="360" w:lineRule="auto"/>
        <w:jc w:val="left"/>
        <w:outlineLvl w:val="1"/>
        <w:rPr>
          <w:rFonts w:ascii="宋体"/>
          <w:b/>
          <w:bCs/>
          <w:sz w:val="28"/>
          <w:szCs w:val="28"/>
        </w:rPr>
      </w:pPr>
      <w:bookmarkStart w:id="48" w:name="_Toc10990"/>
      <w:r>
        <w:rPr>
          <w:rFonts w:ascii="宋体" w:hAnsi="宋体" w:cs="宋体"/>
          <w:b/>
          <w:bCs/>
          <w:sz w:val="28"/>
          <w:szCs w:val="28"/>
        </w:rPr>
        <w:t>4.1</w:t>
      </w:r>
      <w:r>
        <w:rPr>
          <w:rFonts w:ascii="宋体" w:hAnsi="宋体" w:cs="宋体" w:hint="eastAsia"/>
          <w:b/>
          <w:bCs/>
          <w:sz w:val="28"/>
          <w:szCs w:val="28"/>
        </w:rPr>
        <w:t>公众参与形式与目的</w:t>
      </w:r>
      <w:bookmarkEnd w:id="48"/>
    </w:p>
    <w:p w:rsidR="005E49F7" w:rsidRDefault="005E49F7" w:rsidP="00D23914">
      <w:pPr>
        <w:pStyle w:val="111"/>
        <w:ind w:firstLine="31680"/>
      </w:pPr>
      <w:r>
        <w:rPr>
          <w:rFonts w:cs="宋体" w:hint="eastAsia"/>
        </w:rPr>
        <w:t>公众参与的主要目的是让公众了解梅州港总体规划的内容，调查各层次的公众对梅州港建设可能产生的环境影响的看法，以便于报告书编制过程中对于主要环境影响把握的准确性。本次规划环评广泛收集了专家、市、区相关单位及公众对本规划的态度、意见和建议。</w:t>
      </w:r>
    </w:p>
    <w:p w:rsidR="005E49F7" w:rsidRDefault="005E49F7">
      <w:pPr>
        <w:spacing w:line="360" w:lineRule="auto"/>
        <w:jc w:val="left"/>
        <w:outlineLvl w:val="1"/>
        <w:rPr>
          <w:rFonts w:ascii="宋体"/>
          <w:b/>
          <w:bCs/>
          <w:sz w:val="28"/>
          <w:szCs w:val="28"/>
        </w:rPr>
      </w:pPr>
      <w:bookmarkStart w:id="49" w:name="_Toc267839266"/>
      <w:bookmarkStart w:id="50" w:name="_Toc313491017"/>
      <w:bookmarkStart w:id="51" w:name="_Toc12940"/>
      <w:r>
        <w:rPr>
          <w:rFonts w:ascii="宋体" w:hAnsi="宋体" w:cs="宋体"/>
          <w:b/>
          <w:bCs/>
          <w:sz w:val="28"/>
          <w:szCs w:val="28"/>
        </w:rPr>
        <w:t>4.2</w:t>
      </w:r>
      <w:r>
        <w:rPr>
          <w:rFonts w:ascii="宋体" w:hAnsi="宋体" w:cs="宋体" w:hint="eastAsia"/>
          <w:b/>
          <w:bCs/>
          <w:sz w:val="28"/>
          <w:szCs w:val="28"/>
        </w:rPr>
        <w:t>公众参与对象</w:t>
      </w:r>
      <w:bookmarkEnd w:id="49"/>
      <w:bookmarkEnd w:id="50"/>
      <w:r>
        <w:rPr>
          <w:rFonts w:ascii="宋体" w:hAnsi="宋体" w:cs="宋体" w:hint="eastAsia"/>
          <w:b/>
          <w:bCs/>
          <w:sz w:val="28"/>
          <w:szCs w:val="28"/>
        </w:rPr>
        <w:t>与内容</w:t>
      </w:r>
      <w:bookmarkEnd w:id="51"/>
    </w:p>
    <w:p w:rsidR="005E49F7" w:rsidRDefault="005E49F7" w:rsidP="00D23914">
      <w:pPr>
        <w:pStyle w:val="111"/>
        <w:ind w:firstLine="31680"/>
      </w:pPr>
      <w:r>
        <w:rPr>
          <w:rFonts w:cs="宋体" w:hint="eastAsia"/>
        </w:rPr>
        <w:t>根据《梅州港总体规划》初期规划方案确定了三类群体为主要公众参与对象，分别为专家咨询、梅州市各镇区相关职能政府和规划港区范围内的公众。</w:t>
      </w:r>
    </w:p>
    <w:p w:rsidR="005E49F7" w:rsidRDefault="005E49F7">
      <w:pPr>
        <w:spacing w:line="360" w:lineRule="auto"/>
        <w:jc w:val="left"/>
        <w:outlineLvl w:val="1"/>
        <w:rPr>
          <w:rFonts w:ascii="宋体"/>
          <w:b/>
          <w:bCs/>
          <w:sz w:val="28"/>
          <w:szCs w:val="28"/>
        </w:rPr>
      </w:pPr>
      <w:bookmarkStart w:id="52" w:name="_Toc313491018"/>
      <w:bookmarkStart w:id="53" w:name="_Toc8430"/>
      <w:bookmarkStart w:id="54" w:name="_Toc267839267"/>
      <w:bookmarkStart w:id="55" w:name="_Toc31944"/>
      <w:bookmarkStart w:id="56" w:name="_Toc313490785"/>
      <w:bookmarkStart w:id="57" w:name="_Toc16995"/>
      <w:r>
        <w:rPr>
          <w:rFonts w:ascii="宋体" w:hAnsi="宋体" w:cs="宋体"/>
          <w:b/>
          <w:bCs/>
          <w:sz w:val="28"/>
          <w:szCs w:val="28"/>
        </w:rPr>
        <w:t>4.3</w:t>
      </w:r>
      <w:r>
        <w:rPr>
          <w:rFonts w:ascii="宋体" w:hAnsi="宋体" w:cs="宋体" w:hint="eastAsia"/>
          <w:b/>
          <w:bCs/>
          <w:sz w:val="28"/>
          <w:szCs w:val="28"/>
        </w:rPr>
        <w:t>规划环评公示</w:t>
      </w:r>
      <w:bookmarkEnd w:id="52"/>
      <w:bookmarkEnd w:id="53"/>
      <w:bookmarkEnd w:id="54"/>
      <w:bookmarkEnd w:id="55"/>
      <w:bookmarkEnd w:id="56"/>
      <w:bookmarkEnd w:id="57"/>
    </w:p>
    <w:p w:rsidR="005E49F7" w:rsidRDefault="005E49F7" w:rsidP="00D23914">
      <w:pPr>
        <w:pStyle w:val="111"/>
        <w:ind w:firstLine="31680"/>
      </w:pPr>
      <w:r>
        <w:rPr>
          <w:rFonts w:cs="宋体" w:hint="eastAsia"/>
        </w:rPr>
        <w:t>本次评价中公众参与对象除涉及相关学科专家、各镇区政府部门及市级相关机关单位外，还遵照国家环保总局颁发的《环境影响评价公众参与暂行办法》，在梅州市交通局网站就规划项目概况采取网上第一次公示，向社会各界征求对梅州港规划的意见及建议，公示网址为：</w:t>
      </w:r>
    </w:p>
    <w:p w:rsidR="005E49F7" w:rsidRDefault="005E49F7" w:rsidP="00D23914">
      <w:pPr>
        <w:pStyle w:val="111"/>
        <w:ind w:firstLine="31680"/>
      </w:pPr>
      <w:r>
        <w:t>http://www.mzci.gov.cn/content.php?t=2078</w:t>
      </w:r>
    </w:p>
    <w:p w:rsidR="005E49F7" w:rsidRDefault="005E49F7" w:rsidP="00D23914">
      <w:pPr>
        <w:pStyle w:val="111"/>
        <w:ind w:firstLine="31680"/>
      </w:pPr>
      <w:r>
        <w:rPr>
          <w:rFonts w:cs="宋体" w:hint="eastAsia"/>
        </w:rPr>
        <w:t>网上公示截图见图</w:t>
      </w:r>
      <w:r>
        <w:t>9-1</w:t>
      </w:r>
      <w:r>
        <w:rPr>
          <w:rFonts w:cs="宋体" w:hint="eastAsia"/>
        </w:rPr>
        <w:t>，规划公示期间，未收到公众议意见或异议。</w:t>
      </w:r>
    </w:p>
    <w:p w:rsidR="005E49F7" w:rsidRDefault="005E49F7" w:rsidP="00D23914">
      <w:pPr>
        <w:pStyle w:val="111"/>
        <w:ind w:firstLine="31680"/>
      </w:pPr>
      <w:r>
        <w:br w:type="page"/>
      </w:r>
    </w:p>
    <w:p w:rsidR="005E49F7" w:rsidRDefault="005E49F7" w:rsidP="00D23914">
      <w:pPr>
        <w:pStyle w:val="111"/>
        <w:ind w:firstLine="31680"/>
      </w:pPr>
      <w:r>
        <w:rPr>
          <w:noProof/>
        </w:rPr>
        <w:pict>
          <v:group id="组合 2" o:spid="_x0000_s1027" style="position:absolute;left:0;text-align:left;margin-left:.65pt;margin-top:-3.75pt;width:350.6pt;height:750.3pt;z-index:251658240" coordorigin="2684,3448031" coordsize="7012,15006">
            <v:shape id="图片 3" o:spid="_x0000_s1028" type="#_x0000_t75" alt="梅州港总体规划环境影响评价信息第一次公示 － 政务公告 － 梅州市交通运输局" style="position:absolute;left:2684;top:3448031;width:7012;height:15006">
              <v:imagedata r:id="rId24" o:title="" croptop="4525f" cropbottom="219f" cropleft="14042f" cropright="531f"/>
            </v:shape>
            <v:shapetype id="_x0000_t202" coordsize="21600,21600" o:spt="202" path="m,l,21600r21600,l21600,xe">
              <v:stroke joinstyle="miter"/>
              <v:path gradientshapeok="t" o:connecttype="rect"/>
            </v:shapetype>
            <v:shape id="文本框 4" o:spid="_x0000_s1029" type="#_x0000_t202" style="position:absolute;left:5067;top:3462285;width:3577;height:449" filled="f" stroked="f" strokeweight="1.25pt">
              <v:textbox>
                <w:txbxContent>
                  <w:p w:rsidR="005E49F7" w:rsidRDefault="005E49F7">
                    <w:pPr>
                      <w:pStyle w:val="af1"/>
                      <w:spacing w:beforeLines="0" w:line="240" w:lineRule="auto"/>
                      <w:rPr>
                        <w:rFonts w:ascii="宋体" w:eastAsia="宋体" w:hAnsi="宋体"/>
                        <w:b/>
                        <w:bCs/>
                        <w:sz w:val="21"/>
                        <w:szCs w:val="21"/>
                      </w:rPr>
                    </w:pPr>
                    <w:r>
                      <w:rPr>
                        <w:rFonts w:ascii="宋体" w:eastAsia="宋体" w:hAnsi="宋体" w:cs="宋体" w:hint="eastAsia"/>
                        <w:b/>
                        <w:bCs/>
                        <w:sz w:val="21"/>
                        <w:szCs w:val="21"/>
                      </w:rPr>
                      <w:t>图</w:t>
                    </w:r>
                    <w:r>
                      <w:rPr>
                        <w:rFonts w:ascii="宋体" w:eastAsia="宋体" w:hAnsi="宋体" w:cs="宋体"/>
                        <w:b/>
                        <w:bCs/>
                        <w:sz w:val="21"/>
                        <w:szCs w:val="21"/>
                      </w:rPr>
                      <w:t xml:space="preserve">9-1      </w:t>
                    </w:r>
                    <w:r>
                      <w:rPr>
                        <w:rFonts w:ascii="宋体" w:eastAsia="宋体" w:hAnsi="宋体" w:cs="宋体" w:hint="eastAsia"/>
                        <w:b/>
                        <w:bCs/>
                        <w:sz w:val="21"/>
                        <w:szCs w:val="21"/>
                      </w:rPr>
                      <w:t>规划环评网上公示</w:t>
                    </w:r>
                  </w:p>
                  <w:p w:rsidR="005E49F7" w:rsidRDefault="005E49F7"/>
                </w:txbxContent>
              </v:textbox>
            </v:shape>
          </v:group>
        </w:pict>
      </w:r>
    </w:p>
    <w:p w:rsidR="005E49F7" w:rsidRDefault="005E49F7">
      <w:pPr>
        <w:spacing w:line="360" w:lineRule="auto"/>
        <w:jc w:val="left"/>
        <w:outlineLvl w:val="0"/>
        <w:rPr>
          <w:b/>
          <w:bCs/>
          <w:sz w:val="30"/>
          <w:szCs w:val="30"/>
        </w:rPr>
      </w:pPr>
    </w:p>
    <w:p w:rsidR="005E49F7" w:rsidRDefault="005E49F7" w:rsidP="00D23914">
      <w:pPr>
        <w:pStyle w:val="11"/>
        <w:ind w:firstLine="31680"/>
      </w:pPr>
    </w:p>
    <w:p w:rsidR="005E49F7" w:rsidRDefault="005E49F7">
      <w:pPr>
        <w:spacing w:line="360" w:lineRule="auto"/>
        <w:outlineLvl w:val="0"/>
      </w:pPr>
      <w:r>
        <w:br w:type="page"/>
      </w:r>
    </w:p>
    <w:p w:rsidR="005E49F7" w:rsidRDefault="005E49F7">
      <w:pPr>
        <w:spacing w:line="360" w:lineRule="auto"/>
        <w:jc w:val="left"/>
        <w:outlineLvl w:val="0"/>
        <w:rPr>
          <w:rFonts w:ascii="宋体"/>
          <w:b/>
          <w:bCs/>
          <w:sz w:val="28"/>
          <w:szCs w:val="28"/>
        </w:rPr>
      </w:pPr>
      <w:bookmarkStart w:id="58" w:name="_Toc13565"/>
      <w:r>
        <w:rPr>
          <w:rFonts w:ascii="宋体" w:hAnsi="宋体" w:cs="宋体"/>
          <w:b/>
          <w:bCs/>
          <w:sz w:val="28"/>
          <w:szCs w:val="28"/>
        </w:rPr>
        <w:t>5</w:t>
      </w:r>
      <w:r>
        <w:rPr>
          <w:rFonts w:ascii="宋体" w:hAnsi="宋体" w:cs="宋体" w:hint="eastAsia"/>
          <w:b/>
          <w:bCs/>
          <w:sz w:val="28"/>
          <w:szCs w:val="28"/>
        </w:rPr>
        <w:t>环境影响评价结论</w:t>
      </w:r>
      <w:bookmarkEnd w:id="58"/>
    </w:p>
    <w:p w:rsidR="005E49F7" w:rsidRDefault="005E49F7" w:rsidP="00D23914">
      <w:pPr>
        <w:tabs>
          <w:tab w:val="left" w:pos="360"/>
        </w:tabs>
        <w:spacing w:line="360" w:lineRule="auto"/>
        <w:ind w:firstLineChars="200" w:firstLine="31680"/>
        <w:rPr>
          <w:rFonts w:hAnsi="宋体"/>
        </w:rPr>
      </w:pPr>
      <w:r>
        <w:rPr>
          <w:rFonts w:hAnsi="宋体" w:cs="宋体" w:hint="eastAsia"/>
        </w:rPr>
        <w:t>梅州港总体规划港口布局中根据城市功能调整范围，对水资源丰富且利用率较低的韩江水系岸线资源进行集约利用，使规划后的港口码头在保证内河水运经济的同时，适应城市发展和居民生活的要求，促进梅州市的经济建设与快速发展，为城市功能调整创造条件。</w:t>
      </w:r>
    </w:p>
    <w:p w:rsidR="005E49F7" w:rsidRDefault="005E49F7" w:rsidP="00D23914">
      <w:pPr>
        <w:pStyle w:val="11"/>
        <w:ind w:firstLine="31680"/>
      </w:pPr>
      <w:r>
        <w:rPr>
          <w:rFonts w:hAnsi="宋体" w:cs="宋体" w:hint="eastAsia"/>
        </w:rPr>
        <w:t>梅州港总体规划在充分考虑港区现状的基础上，基本遵循岸线资源的现有特点和城市经济发展需要进行布局，与广东省内河航运规划、梅州市城市总体规划目标相符。</w:t>
      </w:r>
    </w:p>
    <w:p w:rsidR="005E49F7" w:rsidRDefault="005E49F7" w:rsidP="00D23914">
      <w:pPr>
        <w:pStyle w:val="11"/>
        <w:ind w:firstLine="31680"/>
      </w:pPr>
      <w:r>
        <w:rPr>
          <w:rFonts w:hAnsi="宋体" w:cs="宋体" w:hint="eastAsia"/>
        </w:rPr>
        <w:t>另一方面，</w:t>
      </w:r>
      <w:r>
        <w:rPr>
          <w:rFonts w:cs="宋体" w:hint="eastAsia"/>
        </w:rPr>
        <w:t>《梅州市生活饮用水地表水源保护区划分方案》实施至今已有十余年，随着社会经济的发展和流域水质保护要求的变更，部分生活饮用水地表水源保护区以发生改变，取水口也做了相应调整。但目前新的生活饮用水地表水源保护区划分方案尚未最终确定并发布，</w:t>
      </w:r>
      <w:r>
        <w:rPr>
          <w:rFonts w:hAnsi="宋体" w:cs="宋体" w:hint="eastAsia"/>
        </w:rPr>
        <w:t>部分市县级水生生态保护区范围无法明确，未来饮用水源保护区和自然保护区范围存在一定的动态不确定性，下一步</w:t>
      </w:r>
      <w:r>
        <w:rPr>
          <w:rFonts w:cs="宋体" w:hint="eastAsia"/>
        </w:rPr>
        <w:t>规划执行实施期间需要做好与可能相冲突的饮用水源保护区取水口做好协调工作，应严格按照有关规定，禁止在饮用水源的一级和二级保护区内从事与水质保护无关的港口开发和工业商业岸线建设等活动，采取相关管理和预防措施，对位于未来计划取消的饮用水源保护区范围内的岸线和码头，要暂缓实施项目建设，待饮用水源保护区调整工作落实并公布区划方案后，确保水源保护区正式取消，与饮用水源地保护无冲突再进行项目建设。对位于未来新划定饮用水源保护区范围的规划岸线和码头要进一步做好选址论证，严格避让饮用水源保护区等环境敏感区，切实保障饮用水源安全，实现航运与环境保护的协调发展。</w:t>
      </w:r>
    </w:p>
    <w:p w:rsidR="005E49F7" w:rsidRDefault="005E49F7" w:rsidP="00D23914">
      <w:pPr>
        <w:pStyle w:val="11"/>
        <w:ind w:firstLine="31680"/>
        <w:sectPr w:rsidR="005E49F7">
          <w:footerReference w:type="default" r:id="rId25"/>
          <w:pgSz w:w="11906" w:h="16838"/>
          <w:pgMar w:top="1701" w:right="1440" w:bottom="1701" w:left="1440" w:header="851" w:footer="992" w:gutter="0"/>
          <w:cols w:space="720"/>
          <w:docGrid w:linePitch="312"/>
        </w:sectPr>
      </w:pPr>
      <w:r>
        <w:rPr>
          <w:rFonts w:cs="宋体" w:hint="eastAsia"/>
        </w:rPr>
        <w:t>经评价分析，在慎重考虑本报告书中的建议，处理好港口建设与各个环境限制因素的前提下，梅州港总体规划方案实施产生的污染负荷是可以接受的，其产生的环境影响是可以控制的。从环境保护角度来看，本规划可行。</w:t>
      </w:r>
    </w:p>
    <w:p w:rsidR="005E49F7" w:rsidRDefault="005E49F7">
      <w:pPr>
        <w:spacing w:line="360" w:lineRule="auto"/>
        <w:jc w:val="left"/>
        <w:outlineLvl w:val="0"/>
        <w:rPr>
          <w:rFonts w:ascii="宋体"/>
          <w:b/>
          <w:bCs/>
          <w:sz w:val="28"/>
          <w:szCs w:val="28"/>
        </w:rPr>
      </w:pPr>
      <w:bookmarkStart w:id="59" w:name="_Toc29757"/>
      <w:r>
        <w:rPr>
          <w:rFonts w:ascii="宋体" w:hAnsi="宋体" w:cs="宋体"/>
          <w:b/>
          <w:bCs/>
          <w:sz w:val="28"/>
          <w:szCs w:val="28"/>
        </w:rPr>
        <w:t>6</w:t>
      </w:r>
      <w:r>
        <w:rPr>
          <w:rFonts w:ascii="宋体" w:hAnsi="宋体" w:cs="宋体" w:hint="eastAsia"/>
          <w:b/>
          <w:bCs/>
          <w:sz w:val="28"/>
          <w:szCs w:val="28"/>
        </w:rPr>
        <w:t>联系方式</w:t>
      </w:r>
      <w:bookmarkEnd w:id="59"/>
    </w:p>
    <w:p w:rsidR="005E49F7" w:rsidRDefault="005E49F7">
      <w:pPr>
        <w:pStyle w:val="NormalWeb"/>
        <w:widowControl/>
        <w:shd w:val="clear" w:color="auto" w:fill="FFFFFF"/>
        <w:spacing w:beforeAutospacing="0" w:afterAutospacing="0" w:line="360" w:lineRule="auto"/>
        <w:ind w:firstLine="562"/>
        <w:rPr>
          <w:rFonts w:ascii="宋体"/>
          <w:color w:val="2F2F2F"/>
        </w:rPr>
      </w:pPr>
      <w:r>
        <w:rPr>
          <w:rFonts w:ascii="宋体" w:hAnsi="宋体" w:cs="宋体" w:hint="eastAsia"/>
          <w:color w:val="2F2F2F"/>
          <w:shd w:val="clear" w:color="auto" w:fill="FFFFFF"/>
        </w:rPr>
        <w:t>（</w:t>
      </w:r>
      <w:r>
        <w:rPr>
          <w:rFonts w:ascii="宋体" w:hAnsi="宋体" w:cs="宋体"/>
          <w:color w:val="2F2F2F"/>
          <w:shd w:val="clear" w:color="auto" w:fill="FFFFFF"/>
        </w:rPr>
        <w:t>1</w:t>
      </w:r>
      <w:r>
        <w:rPr>
          <w:rFonts w:ascii="宋体" w:hAnsi="宋体" w:cs="宋体" w:hint="eastAsia"/>
          <w:color w:val="2F2F2F"/>
          <w:shd w:val="clear" w:color="auto" w:fill="FFFFFF"/>
        </w:rPr>
        <w:t>）规划单位名称和联系方式</w:t>
      </w:r>
    </w:p>
    <w:p w:rsidR="005E49F7" w:rsidRPr="00DE024C" w:rsidRDefault="005E49F7" w:rsidP="004961D5">
      <w:pPr>
        <w:pStyle w:val="ab"/>
        <w:ind w:firstLine="31680"/>
        <w:rPr>
          <w:color w:val="000000"/>
        </w:rPr>
      </w:pPr>
      <w:r w:rsidRPr="00DE024C">
        <w:rPr>
          <w:rFonts w:hAnsi="宋体" w:hint="eastAsia"/>
          <w:color w:val="000000"/>
        </w:rPr>
        <w:t>梅州市交通运输局</w:t>
      </w:r>
      <w:r>
        <w:rPr>
          <w:rFonts w:hAnsi="宋体"/>
          <w:color w:val="000000"/>
        </w:rPr>
        <w:t xml:space="preserve">        </w:t>
      </w:r>
      <w:r w:rsidRPr="00DE024C">
        <w:rPr>
          <w:rFonts w:hAnsi="宋体" w:hint="eastAsia"/>
          <w:color w:val="000000"/>
        </w:rPr>
        <w:t>联系人：</w:t>
      </w:r>
      <w:r>
        <w:rPr>
          <w:rFonts w:hAnsi="宋体" w:hint="eastAsia"/>
          <w:color w:val="000000"/>
        </w:rPr>
        <w:t>黄</w:t>
      </w:r>
      <w:r w:rsidRPr="00DE024C">
        <w:rPr>
          <w:rFonts w:hAnsi="宋体" w:hint="eastAsia"/>
          <w:color w:val="000000"/>
        </w:rPr>
        <w:t>工</w:t>
      </w:r>
      <w:r w:rsidRPr="00DE024C">
        <w:rPr>
          <w:color w:val="000000"/>
        </w:rPr>
        <w:t xml:space="preserve"> </w:t>
      </w:r>
    </w:p>
    <w:p w:rsidR="005E49F7" w:rsidRPr="00DE024C" w:rsidRDefault="005E49F7" w:rsidP="004961D5">
      <w:pPr>
        <w:pStyle w:val="ab"/>
        <w:ind w:firstLine="31680"/>
        <w:rPr>
          <w:color w:val="000000"/>
        </w:rPr>
      </w:pPr>
      <w:r w:rsidRPr="00DE024C">
        <w:rPr>
          <w:rFonts w:hAnsi="宋体" w:hint="eastAsia"/>
          <w:color w:val="000000"/>
        </w:rPr>
        <w:t>地址：梅州市梅江区丽都西路</w:t>
      </w:r>
      <w:r w:rsidRPr="00DE024C">
        <w:rPr>
          <w:color w:val="000000"/>
        </w:rPr>
        <w:t>1</w:t>
      </w:r>
      <w:r w:rsidRPr="00DE024C">
        <w:rPr>
          <w:rFonts w:hAnsi="宋体" w:hint="eastAsia"/>
          <w:color w:val="000000"/>
        </w:rPr>
        <w:t>号，邮编：</w:t>
      </w:r>
      <w:r w:rsidRPr="00DE024C">
        <w:rPr>
          <w:color w:val="000000"/>
        </w:rPr>
        <w:t>514021</w:t>
      </w:r>
    </w:p>
    <w:p w:rsidR="005E49F7" w:rsidRPr="00DE024C" w:rsidRDefault="005E49F7" w:rsidP="004961D5">
      <w:pPr>
        <w:pStyle w:val="ab"/>
        <w:ind w:firstLine="31680"/>
        <w:rPr>
          <w:color w:val="000000"/>
        </w:rPr>
      </w:pPr>
      <w:r w:rsidRPr="00DE024C">
        <w:rPr>
          <w:rFonts w:hAnsi="宋体" w:hint="eastAsia"/>
          <w:color w:val="000000"/>
        </w:rPr>
        <w:t>联系电话：</w:t>
      </w:r>
      <w:r w:rsidRPr="00DE024C">
        <w:rPr>
          <w:color w:val="000000"/>
        </w:rPr>
        <w:t>0753-2283703</w:t>
      </w:r>
      <w:r>
        <w:rPr>
          <w:color w:val="000000"/>
        </w:rPr>
        <w:t xml:space="preserve">   </w:t>
      </w:r>
      <w:r w:rsidRPr="00DE024C">
        <w:rPr>
          <w:rFonts w:hAnsi="宋体" w:hint="eastAsia"/>
          <w:color w:val="000000"/>
        </w:rPr>
        <w:t>传真：</w:t>
      </w:r>
      <w:r w:rsidRPr="00DE024C">
        <w:rPr>
          <w:color w:val="000000"/>
        </w:rPr>
        <w:t>0753-2283703</w:t>
      </w:r>
    </w:p>
    <w:p w:rsidR="005E49F7" w:rsidRPr="00DE024C" w:rsidRDefault="005E49F7" w:rsidP="004961D5">
      <w:pPr>
        <w:pStyle w:val="ab"/>
        <w:ind w:firstLine="31680"/>
        <w:rPr>
          <w:rFonts w:cs="Times New Roman"/>
          <w:color w:val="000000"/>
        </w:rPr>
      </w:pPr>
      <w:r w:rsidRPr="00DE024C">
        <w:rPr>
          <w:rFonts w:hAnsi="宋体" w:hint="eastAsia"/>
          <w:color w:val="000000"/>
        </w:rPr>
        <w:t>联系邮箱：</w:t>
      </w:r>
      <w:r w:rsidRPr="005375C0">
        <w:rPr>
          <w:color w:val="000000"/>
          <w:shd w:val="clear" w:color="auto" w:fill="FFFFFF"/>
        </w:rPr>
        <w:t>17152640</w:t>
      </w:r>
      <w:r w:rsidRPr="00DE024C">
        <w:rPr>
          <w:color w:val="000000"/>
          <w:shd w:val="clear" w:color="auto" w:fill="FFFFFF"/>
        </w:rPr>
        <w:t>@</w:t>
      </w:r>
      <w:r>
        <w:rPr>
          <w:color w:val="000000"/>
          <w:shd w:val="clear" w:color="auto" w:fill="FFFFFF"/>
        </w:rPr>
        <w:t>qq</w:t>
      </w:r>
      <w:r w:rsidRPr="00DE024C">
        <w:rPr>
          <w:color w:val="000000"/>
          <w:shd w:val="clear" w:color="auto" w:fill="FFFFFF"/>
        </w:rPr>
        <w:t>.com</w:t>
      </w:r>
    </w:p>
    <w:p w:rsidR="005E49F7" w:rsidRDefault="005E49F7">
      <w:pPr>
        <w:pStyle w:val="NormalWeb"/>
        <w:widowControl/>
        <w:shd w:val="clear" w:color="auto" w:fill="FFFFFF"/>
        <w:spacing w:beforeAutospacing="0" w:afterAutospacing="0" w:line="360" w:lineRule="auto"/>
        <w:ind w:firstLine="562"/>
        <w:rPr>
          <w:rFonts w:ascii="宋体"/>
          <w:color w:val="2F2F2F"/>
        </w:rPr>
      </w:pPr>
      <w:r>
        <w:rPr>
          <w:rFonts w:ascii="宋体" w:hAnsi="宋体" w:cs="宋体" w:hint="eastAsia"/>
          <w:color w:val="2F2F2F"/>
          <w:shd w:val="clear" w:color="auto" w:fill="FFFFFF"/>
        </w:rPr>
        <w:t>（</w:t>
      </w:r>
      <w:r>
        <w:rPr>
          <w:rFonts w:ascii="宋体" w:hAnsi="宋体" w:cs="宋体"/>
          <w:color w:val="2F2F2F"/>
          <w:shd w:val="clear" w:color="auto" w:fill="FFFFFF"/>
        </w:rPr>
        <w:t>2</w:t>
      </w:r>
      <w:r>
        <w:rPr>
          <w:rFonts w:ascii="宋体" w:hAnsi="宋体" w:cs="宋体" w:hint="eastAsia"/>
          <w:color w:val="2F2F2F"/>
          <w:shd w:val="clear" w:color="auto" w:fill="FFFFFF"/>
        </w:rPr>
        <w:t>）环境影响评价单位名称和联系方式</w:t>
      </w:r>
    </w:p>
    <w:p w:rsidR="005E49F7" w:rsidRDefault="005E49F7">
      <w:pPr>
        <w:pStyle w:val="NormalWeb"/>
        <w:widowControl/>
        <w:shd w:val="clear" w:color="auto" w:fill="FFFFFF"/>
        <w:spacing w:beforeAutospacing="0" w:afterAutospacing="0" w:line="360" w:lineRule="auto"/>
        <w:ind w:firstLine="560"/>
        <w:rPr>
          <w:rFonts w:ascii="宋体"/>
          <w:color w:val="2F2F2F"/>
        </w:rPr>
      </w:pPr>
      <w:r>
        <w:rPr>
          <w:rFonts w:ascii="宋体" w:hAnsi="宋体" w:cs="宋体" w:hint="eastAsia"/>
          <w:color w:val="2F2F2F"/>
          <w:shd w:val="clear" w:color="auto" w:fill="FFFFFF"/>
        </w:rPr>
        <w:t>广州和元达环保发展有限公司：黄工</w:t>
      </w:r>
    </w:p>
    <w:p w:rsidR="005E49F7" w:rsidRDefault="005E49F7">
      <w:pPr>
        <w:pStyle w:val="NormalWeb"/>
        <w:widowControl/>
        <w:shd w:val="clear" w:color="auto" w:fill="FFFFFF"/>
        <w:spacing w:beforeAutospacing="0" w:afterAutospacing="0" w:line="360" w:lineRule="auto"/>
        <w:ind w:firstLine="560"/>
        <w:rPr>
          <w:rFonts w:ascii="宋体"/>
          <w:color w:val="2F2F2F"/>
        </w:rPr>
      </w:pPr>
      <w:r>
        <w:rPr>
          <w:rFonts w:ascii="宋体" w:hAnsi="宋体" w:cs="宋体" w:hint="eastAsia"/>
          <w:color w:val="2F2F2F"/>
          <w:shd w:val="clear" w:color="auto" w:fill="FFFFFF"/>
        </w:rPr>
        <w:t>广州亿陆德交通工程技术有限公司：王工</w:t>
      </w:r>
    </w:p>
    <w:p w:rsidR="005E49F7" w:rsidRDefault="005E49F7">
      <w:pPr>
        <w:pStyle w:val="NormalWeb"/>
        <w:widowControl/>
        <w:shd w:val="clear" w:color="auto" w:fill="FFFFFF"/>
        <w:spacing w:beforeAutospacing="0" w:afterAutospacing="0" w:line="360" w:lineRule="auto"/>
        <w:ind w:firstLine="560"/>
        <w:rPr>
          <w:rFonts w:ascii="宋体"/>
          <w:color w:val="2F2F2F"/>
        </w:rPr>
      </w:pPr>
      <w:r>
        <w:rPr>
          <w:rFonts w:ascii="宋体" w:hAnsi="宋体" w:cs="宋体" w:hint="eastAsia"/>
          <w:color w:val="2F2F2F"/>
          <w:shd w:val="clear" w:color="auto" w:fill="FFFFFF"/>
        </w:rPr>
        <w:t>地址：广州市新港西路</w:t>
      </w:r>
      <w:r>
        <w:rPr>
          <w:rFonts w:ascii="宋体" w:hAnsi="宋体" w:cs="宋体"/>
          <w:color w:val="2F2F2F"/>
          <w:shd w:val="clear" w:color="auto" w:fill="FFFFFF"/>
        </w:rPr>
        <w:t>135</w:t>
      </w:r>
      <w:r>
        <w:rPr>
          <w:rFonts w:ascii="宋体" w:hAnsi="宋体" w:cs="宋体" w:hint="eastAsia"/>
          <w:color w:val="2F2F2F"/>
          <w:shd w:val="clear" w:color="auto" w:fill="FFFFFF"/>
        </w:rPr>
        <w:t>号中大科技园</w:t>
      </w:r>
      <w:r>
        <w:rPr>
          <w:rFonts w:ascii="宋体" w:hAnsi="宋体" w:cs="宋体"/>
          <w:color w:val="2F2F2F"/>
          <w:shd w:val="clear" w:color="auto" w:fill="FFFFFF"/>
        </w:rPr>
        <w:t>A</w:t>
      </w:r>
      <w:r>
        <w:rPr>
          <w:rFonts w:ascii="宋体" w:hAnsi="宋体" w:cs="宋体" w:hint="eastAsia"/>
          <w:color w:val="2F2F2F"/>
          <w:shd w:val="clear" w:color="auto" w:fill="FFFFFF"/>
        </w:rPr>
        <w:t>座</w:t>
      </w:r>
      <w:r>
        <w:rPr>
          <w:rFonts w:ascii="宋体" w:hAnsi="宋体" w:cs="宋体"/>
          <w:color w:val="2F2F2F"/>
          <w:shd w:val="clear" w:color="auto" w:fill="FFFFFF"/>
        </w:rPr>
        <w:t>1306</w:t>
      </w:r>
      <w:r>
        <w:rPr>
          <w:rFonts w:ascii="宋体" w:hAnsi="宋体" w:cs="宋体" w:hint="eastAsia"/>
          <w:color w:val="2F2F2F"/>
          <w:shd w:val="clear" w:color="auto" w:fill="FFFFFF"/>
        </w:rPr>
        <w:t>，邮编：</w:t>
      </w:r>
      <w:r>
        <w:rPr>
          <w:rFonts w:ascii="宋体" w:hAnsi="宋体" w:cs="宋体"/>
          <w:color w:val="2F2F2F"/>
          <w:shd w:val="clear" w:color="auto" w:fill="FFFFFF"/>
        </w:rPr>
        <w:t>510275</w:t>
      </w:r>
    </w:p>
    <w:p w:rsidR="005E49F7" w:rsidRDefault="005E49F7">
      <w:pPr>
        <w:pStyle w:val="NormalWeb"/>
        <w:widowControl/>
        <w:shd w:val="clear" w:color="auto" w:fill="FFFFFF"/>
        <w:spacing w:beforeAutospacing="0" w:afterAutospacing="0" w:line="360" w:lineRule="auto"/>
        <w:ind w:firstLine="560"/>
        <w:rPr>
          <w:rFonts w:ascii="宋体"/>
          <w:color w:val="2F2F2F"/>
        </w:rPr>
      </w:pPr>
      <w:r>
        <w:rPr>
          <w:rFonts w:ascii="宋体" w:hAnsi="宋体" w:cs="宋体" w:hint="eastAsia"/>
          <w:color w:val="2F2F2F"/>
          <w:shd w:val="clear" w:color="auto" w:fill="FFFFFF"/>
        </w:rPr>
        <w:t>联系电话：</w:t>
      </w:r>
      <w:r>
        <w:rPr>
          <w:rFonts w:ascii="宋体" w:hAnsi="宋体" w:cs="宋体"/>
          <w:color w:val="2F2F2F"/>
          <w:shd w:val="clear" w:color="auto" w:fill="FFFFFF"/>
        </w:rPr>
        <w:t xml:space="preserve">020-83540797    </w:t>
      </w:r>
      <w:r>
        <w:rPr>
          <w:rFonts w:ascii="宋体" w:hAnsi="宋体" w:cs="宋体" w:hint="eastAsia"/>
          <w:color w:val="2F2F2F"/>
          <w:shd w:val="clear" w:color="auto" w:fill="FFFFFF"/>
        </w:rPr>
        <w:t>传真：</w:t>
      </w:r>
      <w:r>
        <w:rPr>
          <w:rFonts w:ascii="宋体" w:hAnsi="宋体" w:cs="宋体"/>
          <w:color w:val="2F2F2F"/>
          <w:shd w:val="clear" w:color="auto" w:fill="FFFFFF"/>
        </w:rPr>
        <w:t>020-83540797</w:t>
      </w:r>
    </w:p>
    <w:p w:rsidR="005E49F7" w:rsidRDefault="005E49F7">
      <w:pPr>
        <w:widowControl/>
        <w:shd w:val="clear" w:color="auto" w:fill="FFFFFF"/>
        <w:spacing w:line="360" w:lineRule="auto"/>
        <w:ind w:firstLine="560"/>
        <w:jc w:val="left"/>
        <w:rPr>
          <w:rFonts w:ascii="宋体"/>
          <w:color w:val="2F2F2F"/>
        </w:rPr>
      </w:pPr>
      <w:r>
        <w:rPr>
          <w:rFonts w:ascii="宋体" w:hAnsi="宋体" w:cs="宋体" w:hint="eastAsia"/>
          <w:color w:val="2F2F2F"/>
          <w:kern w:val="0"/>
          <w:shd w:val="clear" w:color="auto" w:fill="FFFFFF"/>
        </w:rPr>
        <w:t>联系邮箱：</w:t>
      </w:r>
      <w:r>
        <w:rPr>
          <w:rFonts w:ascii="宋体" w:hAnsi="宋体" w:cs="宋体"/>
          <w:color w:val="2F2F2F"/>
          <w:kern w:val="0"/>
          <w:shd w:val="clear" w:color="auto" w:fill="FFFFFF"/>
        </w:rPr>
        <w:t>269295515@qq.com</w:t>
      </w:r>
    </w:p>
    <w:p w:rsidR="005E49F7" w:rsidRDefault="005E49F7">
      <w:pPr>
        <w:spacing w:line="360" w:lineRule="auto"/>
        <w:outlineLvl w:val="0"/>
        <w:rPr>
          <w:rFonts w:ascii="宋体"/>
        </w:rPr>
      </w:pPr>
    </w:p>
    <w:sectPr w:rsidR="005E49F7" w:rsidSect="00004B9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9F7" w:rsidRDefault="005E49F7" w:rsidP="00004B9D">
      <w:pPr>
        <w:spacing w:line="240" w:lineRule="auto"/>
      </w:pPr>
      <w:r>
        <w:separator/>
      </w:r>
    </w:p>
  </w:endnote>
  <w:endnote w:type="continuationSeparator" w:id="0">
    <w:p w:rsidR="005E49F7" w:rsidRDefault="005E49F7" w:rsidP="00004B9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黑体">
    <w:altName w:val="um"/>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9F7" w:rsidRDefault="005E49F7">
    <w:pPr>
      <w:pStyle w:val="Footer"/>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 filled="f" stroked="f" strokeweight="1.25pt">
          <v:textbox style="mso-fit-shape-to-text:t" inset="0,0,0,0">
            <w:txbxContent>
              <w:p w:rsidR="005E49F7" w:rsidRDefault="005E49F7">
                <w:pPr>
                  <w:snapToGrid w:val="0"/>
                  <w:rPr>
                    <w:sz w:val="18"/>
                    <w:szCs w:val="18"/>
                  </w:rPr>
                </w:pPr>
                <w:fldSimple w:instr=" PAGE  \* MERGEFORMAT ">
                  <w:r w:rsidRPr="007218C5">
                    <w:rPr>
                      <w:noProof/>
                      <w:sz w:val="18"/>
                      <w:szCs w:val="18"/>
                    </w:rPr>
                    <w:t>44</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9F7" w:rsidRDefault="005E49F7" w:rsidP="00004B9D">
      <w:pPr>
        <w:spacing w:line="240" w:lineRule="auto"/>
      </w:pPr>
      <w:r>
        <w:separator/>
      </w:r>
    </w:p>
  </w:footnote>
  <w:footnote w:type="continuationSeparator" w:id="0">
    <w:p w:rsidR="005E49F7" w:rsidRDefault="005E49F7" w:rsidP="00004B9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lvl w:ilvl="0">
      <w:start w:val="2"/>
      <w:numFmt w:val="decimal"/>
      <w:suff w:val="nothing"/>
      <w:lvlText w:val="%1."/>
      <w:lvlJc w:val="left"/>
    </w:lvl>
    <w:lvl w:ilvl="1">
      <w:start w:val="3"/>
      <w:numFmt w:val="decimal"/>
      <w:isLgl/>
      <w:lvlText w:val="%1.%2"/>
      <w:lvlJc w:val="left"/>
      <w:pPr>
        <w:ind w:left="825" w:hanging="585"/>
      </w:pPr>
      <w:rPr>
        <w:rFonts w:hint="default"/>
      </w:rPr>
    </w:lvl>
    <w:lvl w:ilvl="2">
      <w:start w:val="2"/>
      <w:numFmt w:val="decimal"/>
      <w:isLgl/>
      <w:lvlText w:val="%1.%2.%3"/>
      <w:lvlJc w:val="left"/>
      <w:pPr>
        <w:ind w:left="120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120" w:hanging="1440"/>
      </w:pPr>
      <w:rPr>
        <w:rFonts w:hint="default"/>
      </w:rPr>
    </w:lvl>
    <w:lvl w:ilvl="8">
      <w:start w:val="1"/>
      <w:numFmt w:val="decimal"/>
      <w:isLgl/>
      <w:lvlText w:val="%1.%2.%3.%4.%5.%6.%7.%8.%9"/>
      <w:lvlJc w:val="left"/>
      <w:pPr>
        <w:ind w:left="3720" w:hanging="1800"/>
      </w:pPr>
      <w:rPr>
        <w:rFonts w:hint="default"/>
      </w:rPr>
    </w:lvl>
  </w:abstractNum>
  <w:abstractNum w:abstractNumId="1">
    <w:nsid w:val="59003357"/>
    <w:multiLevelType w:val="singleLevel"/>
    <w:tmpl w:val="59003357"/>
    <w:lvl w:ilvl="0">
      <w:start w:val="1"/>
      <w:numFmt w:val="decimal"/>
      <w:suff w:val="nothing"/>
      <w:lvlText w:val="（%1）"/>
      <w:lvlJc w:val="left"/>
    </w:lvl>
  </w:abstractNum>
  <w:abstractNum w:abstractNumId="2">
    <w:nsid w:val="5900364E"/>
    <w:multiLevelType w:val="singleLevel"/>
    <w:tmpl w:val="5900364E"/>
    <w:lvl w:ilvl="0">
      <w:start w:val="4"/>
      <w:numFmt w:val="decimal"/>
      <w:suff w:val="nothing"/>
      <w:lvlText w:val="%1."/>
      <w:lvlJc w:val="left"/>
    </w:lvl>
  </w:abstractNum>
  <w:abstractNum w:abstractNumId="3">
    <w:nsid w:val="590036BE"/>
    <w:multiLevelType w:val="singleLevel"/>
    <w:tmpl w:val="590036BE"/>
    <w:lvl w:ilvl="0">
      <w:start w:val="8"/>
      <w:numFmt w:val="decimal"/>
      <w:suff w:val="nothing"/>
      <w:lvlText w:val="%1."/>
      <w:lvlJc w:val="left"/>
    </w:lvl>
  </w:abstractNum>
  <w:abstractNum w:abstractNumId="4">
    <w:nsid w:val="59003BED"/>
    <w:multiLevelType w:val="singleLevel"/>
    <w:tmpl w:val="59003BED"/>
    <w:lvl w:ilvl="0">
      <w:start w:val="1"/>
      <w:numFmt w:val="decimal"/>
      <w:suff w:val="nothing"/>
      <w:lvlText w:val="（%1）"/>
      <w:lvlJc w:val="left"/>
    </w:lvl>
  </w:abstractNum>
  <w:abstractNum w:abstractNumId="5">
    <w:nsid w:val="59003D65"/>
    <w:multiLevelType w:val="singleLevel"/>
    <w:tmpl w:val="59003D65"/>
    <w:lvl w:ilvl="0">
      <w:start w:val="5"/>
      <w:numFmt w:val="decimal"/>
      <w:suff w:val="nothing"/>
      <w:lvlText w:val="（%1）"/>
      <w:lvlJc w:val="left"/>
    </w:lvl>
  </w:abstractNum>
  <w:abstractNum w:abstractNumId="6">
    <w:nsid w:val="59003EF0"/>
    <w:multiLevelType w:val="singleLevel"/>
    <w:tmpl w:val="59003EF0"/>
    <w:lvl w:ilvl="0">
      <w:start w:val="7"/>
      <w:numFmt w:val="decimal"/>
      <w:suff w:val="nothing"/>
      <w:lvlText w:val="（%1）"/>
      <w:lvlJc w:val="left"/>
    </w:lvl>
  </w:abstractNum>
  <w:abstractNum w:abstractNumId="7">
    <w:nsid w:val="590041D1"/>
    <w:multiLevelType w:val="singleLevel"/>
    <w:tmpl w:val="590041D1"/>
    <w:lvl w:ilvl="0">
      <w:start w:val="13"/>
      <w:numFmt w:val="decimal"/>
      <w:suff w:val="nothing"/>
      <w:lvlText w:val="（%1）"/>
      <w:lvlJc w:val="left"/>
    </w:lvl>
  </w:abstractNum>
  <w:abstractNum w:abstractNumId="8">
    <w:nsid w:val="5900428F"/>
    <w:multiLevelType w:val="singleLevel"/>
    <w:tmpl w:val="5900428F"/>
    <w:lvl w:ilvl="0">
      <w:start w:val="1"/>
      <w:numFmt w:val="lowerLetter"/>
      <w:suff w:val="nothing"/>
      <w:lvlText w:val="%1、"/>
      <w:lvlJc w:val="left"/>
    </w:lvl>
  </w:abstractNum>
  <w:abstractNum w:abstractNumId="9">
    <w:nsid w:val="590044F8"/>
    <w:multiLevelType w:val="singleLevel"/>
    <w:tmpl w:val="590044F8"/>
    <w:lvl w:ilvl="0">
      <w:start w:val="15"/>
      <w:numFmt w:val="decimal"/>
      <w:suff w:val="nothing"/>
      <w:lvlText w:val="（%1）"/>
      <w:lvlJc w:val="left"/>
    </w:lvl>
  </w:abstractNum>
  <w:abstractNum w:abstractNumId="10">
    <w:nsid w:val="590046D1"/>
    <w:multiLevelType w:val="singleLevel"/>
    <w:tmpl w:val="590046D1"/>
    <w:lvl w:ilvl="0">
      <w:start w:val="1"/>
      <w:numFmt w:val="decimal"/>
      <w:suff w:val="nothing"/>
      <w:lvlText w:val="（%1）"/>
      <w:lvlJc w:val="left"/>
    </w:lvl>
  </w:abstractNum>
  <w:abstractNum w:abstractNumId="11">
    <w:nsid w:val="59004BAA"/>
    <w:multiLevelType w:val="singleLevel"/>
    <w:tmpl w:val="59004BAA"/>
    <w:lvl w:ilvl="0">
      <w:start w:val="2"/>
      <w:numFmt w:val="decimal"/>
      <w:suff w:val="nothing"/>
      <w:lvlText w:val="（%1）"/>
      <w:lvlJc w:val="left"/>
    </w:lvl>
  </w:abstractNum>
  <w:abstractNum w:abstractNumId="12">
    <w:nsid w:val="59004CAC"/>
    <w:multiLevelType w:val="singleLevel"/>
    <w:tmpl w:val="59004CAC"/>
    <w:lvl w:ilvl="0">
      <w:start w:val="1"/>
      <w:numFmt w:val="decimal"/>
      <w:suff w:val="nothing"/>
      <w:lvlText w:val="（%1）"/>
      <w:lvlJc w:val="left"/>
    </w:lvl>
  </w:abstractNum>
  <w:abstractNum w:abstractNumId="13">
    <w:nsid w:val="59004FB4"/>
    <w:multiLevelType w:val="singleLevel"/>
    <w:tmpl w:val="59004FB4"/>
    <w:lvl w:ilvl="0">
      <w:start w:val="1"/>
      <w:numFmt w:val="decimal"/>
      <w:suff w:val="nothing"/>
      <w:lvlText w:val="（%1）"/>
      <w:lvlJc w:val="left"/>
    </w:lvl>
  </w:abstractNum>
  <w:num w:numId="1">
    <w:abstractNumId w:val="1"/>
  </w:num>
  <w:num w:numId="2">
    <w:abstractNumId w:val="2"/>
  </w:num>
  <w:num w:numId="3">
    <w:abstractNumId w:val="3"/>
  </w:num>
  <w:num w:numId="4">
    <w:abstractNumId w:val="0"/>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2EF10537"/>
    <w:rsid w:val="00004B9D"/>
    <w:rsid w:val="004961D5"/>
    <w:rsid w:val="005375C0"/>
    <w:rsid w:val="005E49F7"/>
    <w:rsid w:val="00717E23"/>
    <w:rsid w:val="007218C5"/>
    <w:rsid w:val="007E49DF"/>
    <w:rsid w:val="00BA671C"/>
    <w:rsid w:val="00D23914"/>
    <w:rsid w:val="00DE024C"/>
    <w:rsid w:val="00DF6F08"/>
    <w:rsid w:val="01002E92"/>
    <w:rsid w:val="06471C6E"/>
    <w:rsid w:val="075138AA"/>
    <w:rsid w:val="09C9034D"/>
    <w:rsid w:val="0B1D13D9"/>
    <w:rsid w:val="0B592CA2"/>
    <w:rsid w:val="166B3617"/>
    <w:rsid w:val="18863E12"/>
    <w:rsid w:val="19402170"/>
    <w:rsid w:val="194773AC"/>
    <w:rsid w:val="19635B9C"/>
    <w:rsid w:val="23346918"/>
    <w:rsid w:val="2B016AB7"/>
    <w:rsid w:val="2EF10537"/>
    <w:rsid w:val="3F946512"/>
    <w:rsid w:val="3FC61340"/>
    <w:rsid w:val="4E4540CF"/>
    <w:rsid w:val="51D05946"/>
    <w:rsid w:val="56F16AD2"/>
    <w:rsid w:val="615A3E67"/>
    <w:rsid w:val="69FB163C"/>
    <w:rsid w:val="753D4C8B"/>
    <w:rsid w:val="77E43F0F"/>
    <w:rsid w:val="7E7D6DDD"/>
    <w:rsid w:val="7E99001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B9D"/>
    <w:pPr>
      <w:widowControl w:val="0"/>
      <w:spacing w:line="440" w:lineRule="exact"/>
      <w:jc w:val="both"/>
    </w:pPr>
    <w:rPr>
      <w:sz w:val="24"/>
      <w:szCs w:val="24"/>
    </w:rPr>
  </w:style>
  <w:style w:type="paragraph" w:styleId="Heading1">
    <w:name w:val="heading 1"/>
    <w:basedOn w:val="Normal"/>
    <w:next w:val="Normal"/>
    <w:link w:val="Heading1Char"/>
    <w:uiPriority w:val="99"/>
    <w:qFormat/>
    <w:rsid w:val="00004B9D"/>
    <w:pPr>
      <w:keepNext/>
      <w:keepLines/>
      <w:spacing w:beforeLines="200" w:afterLines="200"/>
      <w:ind w:left="840"/>
      <w:jc w:val="center"/>
      <w:outlineLvl w:val="0"/>
    </w:pPr>
    <w:rPr>
      <w:rFonts w:eastAsia="黑体"/>
      <w:b/>
      <w:bCs/>
      <w:kern w:val="44"/>
      <w:sz w:val="36"/>
      <w:szCs w:val="36"/>
    </w:rPr>
  </w:style>
  <w:style w:type="paragraph" w:styleId="Heading2">
    <w:name w:val="heading 2"/>
    <w:basedOn w:val="Normal"/>
    <w:next w:val="Normal"/>
    <w:link w:val="Heading2Char"/>
    <w:uiPriority w:val="99"/>
    <w:qFormat/>
    <w:rsid w:val="00004B9D"/>
    <w:pPr>
      <w:keepNext/>
      <w:keepLines/>
      <w:spacing w:beforeLines="100" w:afterLines="100"/>
      <w:ind w:left="420"/>
      <w:jc w:val="left"/>
      <w:outlineLvl w:val="1"/>
    </w:pPr>
    <w:rPr>
      <w:rFonts w:eastAsia="黑体"/>
      <w:sz w:val="30"/>
      <w:szCs w:val="30"/>
    </w:rPr>
  </w:style>
  <w:style w:type="paragraph" w:styleId="Heading3">
    <w:name w:val="heading 3"/>
    <w:basedOn w:val="Normal"/>
    <w:next w:val="Normal"/>
    <w:link w:val="Heading3Char"/>
    <w:uiPriority w:val="99"/>
    <w:qFormat/>
    <w:rsid w:val="00004B9D"/>
    <w:pPr>
      <w:keepNext/>
      <w:keepLines/>
      <w:spacing w:beforeLines="50" w:afterLines="50" w:line="240" w:lineRule="auto"/>
      <w:jc w:val="left"/>
      <w:outlineLvl w:val="2"/>
    </w:pPr>
    <w:rPr>
      <w:b/>
      <w:bCs/>
      <w:sz w:val="32"/>
      <w:szCs w:val="32"/>
    </w:rPr>
  </w:style>
  <w:style w:type="paragraph" w:styleId="Heading4">
    <w:name w:val="heading 4"/>
    <w:basedOn w:val="Normal"/>
    <w:next w:val="Normal"/>
    <w:link w:val="Heading4Char"/>
    <w:uiPriority w:val="99"/>
    <w:qFormat/>
    <w:rsid w:val="00004B9D"/>
    <w:pPr>
      <w:keepNext/>
      <w:keepLines/>
      <w:spacing w:beforeLines="50" w:afterLines="50" w:line="360" w:lineRule="auto"/>
      <w:ind w:left="840"/>
      <w:jc w:val="left"/>
      <w:outlineLvl w:val="3"/>
    </w:pPr>
    <w:rPr>
      <w:rFonts w:eastAsia="黑体"/>
    </w:rPr>
  </w:style>
  <w:style w:type="paragraph" w:styleId="Heading5">
    <w:name w:val="heading 5"/>
    <w:basedOn w:val="Normal"/>
    <w:next w:val="Normal"/>
    <w:link w:val="Heading5Char"/>
    <w:uiPriority w:val="99"/>
    <w:qFormat/>
    <w:rsid w:val="00004B9D"/>
    <w:pPr>
      <w:keepNext/>
      <w:keepLines/>
      <w:spacing w:beforeLines="50" w:line="360" w:lineRule="auto"/>
      <w:jc w:val="center"/>
      <w:outlineLvl w:val="4"/>
    </w:pPr>
    <w:rPr>
      <w:rFonts w:eastAsia="黑体"/>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7900"/>
    <w:rPr>
      <w:b/>
      <w:bCs/>
      <w:kern w:val="44"/>
      <w:sz w:val="44"/>
      <w:szCs w:val="44"/>
    </w:rPr>
  </w:style>
  <w:style w:type="character" w:customStyle="1" w:styleId="Heading2Char">
    <w:name w:val="Heading 2 Char"/>
    <w:basedOn w:val="DefaultParagraphFont"/>
    <w:link w:val="Heading2"/>
    <w:uiPriority w:val="9"/>
    <w:semiHidden/>
    <w:rsid w:val="006A7900"/>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semiHidden/>
    <w:rsid w:val="006A7900"/>
    <w:rPr>
      <w:b/>
      <w:bCs/>
      <w:sz w:val="32"/>
      <w:szCs w:val="32"/>
    </w:rPr>
  </w:style>
  <w:style w:type="character" w:customStyle="1" w:styleId="Heading4Char">
    <w:name w:val="Heading 4 Char"/>
    <w:basedOn w:val="DefaultParagraphFont"/>
    <w:link w:val="Heading4"/>
    <w:uiPriority w:val="9"/>
    <w:semiHidden/>
    <w:rsid w:val="006A7900"/>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semiHidden/>
    <w:rsid w:val="006A7900"/>
    <w:rPr>
      <w:b/>
      <w:bCs/>
      <w:sz w:val="28"/>
      <w:szCs w:val="28"/>
    </w:rPr>
  </w:style>
  <w:style w:type="paragraph" w:styleId="BodyText">
    <w:name w:val="Body Text"/>
    <w:basedOn w:val="Normal"/>
    <w:link w:val="BodyTextChar"/>
    <w:uiPriority w:val="99"/>
    <w:rsid w:val="00004B9D"/>
    <w:pPr>
      <w:spacing w:after="120"/>
    </w:pPr>
    <w:rPr>
      <w:kern w:val="0"/>
    </w:rPr>
  </w:style>
  <w:style w:type="character" w:customStyle="1" w:styleId="BodyTextChar">
    <w:name w:val="Body Text Char"/>
    <w:basedOn w:val="DefaultParagraphFont"/>
    <w:link w:val="BodyText"/>
    <w:uiPriority w:val="99"/>
    <w:semiHidden/>
    <w:rsid w:val="006A7900"/>
    <w:rPr>
      <w:sz w:val="24"/>
      <w:szCs w:val="24"/>
    </w:rPr>
  </w:style>
  <w:style w:type="paragraph" w:styleId="Footer">
    <w:name w:val="footer"/>
    <w:basedOn w:val="Normal"/>
    <w:link w:val="FooterChar"/>
    <w:uiPriority w:val="99"/>
    <w:rsid w:val="00004B9D"/>
    <w:pPr>
      <w:tabs>
        <w:tab w:val="center" w:pos="4153"/>
        <w:tab w:val="right" w:pos="8306"/>
      </w:tabs>
      <w:snapToGrid w:val="0"/>
      <w:spacing w:line="240" w:lineRule="atLeast"/>
      <w:jc w:val="left"/>
    </w:pPr>
    <w:rPr>
      <w:sz w:val="18"/>
      <w:szCs w:val="18"/>
    </w:rPr>
  </w:style>
  <w:style w:type="character" w:customStyle="1" w:styleId="FooterChar">
    <w:name w:val="Footer Char"/>
    <w:basedOn w:val="DefaultParagraphFont"/>
    <w:link w:val="Footer"/>
    <w:uiPriority w:val="99"/>
    <w:semiHidden/>
    <w:rsid w:val="006A7900"/>
    <w:rPr>
      <w:sz w:val="18"/>
      <w:szCs w:val="18"/>
    </w:rPr>
  </w:style>
  <w:style w:type="paragraph" w:styleId="Header">
    <w:name w:val="header"/>
    <w:basedOn w:val="Normal"/>
    <w:link w:val="HeaderChar"/>
    <w:uiPriority w:val="99"/>
    <w:rsid w:val="00004B9D"/>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szCs w:val="18"/>
    </w:rPr>
  </w:style>
  <w:style w:type="character" w:customStyle="1" w:styleId="HeaderChar">
    <w:name w:val="Header Char"/>
    <w:basedOn w:val="DefaultParagraphFont"/>
    <w:link w:val="Header"/>
    <w:uiPriority w:val="99"/>
    <w:semiHidden/>
    <w:rsid w:val="006A7900"/>
    <w:rPr>
      <w:sz w:val="18"/>
      <w:szCs w:val="18"/>
    </w:rPr>
  </w:style>
  <w:style w:type="paragraph" w:styleId="TOC1">
    <w:name w:val="toc 1"/>
    <w:basedOn w:val="Normal"/>
    <w:next w:val="Normal"/>
    <w:autoRedefine/>
    <w:uiPriority w:val="99"/>
    <w:semiHidden/>
    <w:rsid w:val="00004B9D"/>
  </w:style>
  <w:style w:type="paragraph" w:styleId="TOC2">
    <w:name w:val="toc 2"/>
    <w:basedOn w:val="Normal"/>
    <w:next w:val="Normal"/>
    <w:autoRedefine/>
    <w:uiPriority w:val="99"/>
    <w:semiHidden/>
    <w:rsid w:val="00004B9D"/>
    <w:pPr>
      <w:ind w:leftChars="200" w:left="420"/>
    </w:pPr>
  </w:style>
  <w:style w:type="paragraph" w:styleId="MessageHeader">
    <w:name w:val="Message Header"/>
    <w:basedOn w:val="Normal"/>
    <w:link w:val="MessageHeaderChar"/>
    <w:uiPriority w:val="99"/>
    <w:rsid w:val="00004B9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character" w:customStyle="1" w:styleId="MessageHeaderChar">
    <w:name w:val="Message Header Char"/>
    <w:basedOn w:val="DefaultParagraphFont"/>
    <w:link w:val="MessageHeader"/>
    <w:uiPriority w:val="99"/>
    <w:semiHidden/>
    <w:rsid w:val="006A7900"/>
    <w:rPr>
      <w:rFonts w:asciiTheme="majorHAnsi" w:eastAsiaTheme="majorEastAsia" w:hAnsiTheme="majorHAnsi" w:cstheme="majorBidi"/>
      <w:sz w:val="24"/>
      <w:szCs w:val="24"/>
      <w:shd w:val="pct20" w:color="auto" w:fill="auto"/>
    </w:rPr>
  </w:style>
  <w:style w:type="paragraph" w:styleId="NormalWeb">
    <w:name w:val="Normal (Web)"/>
    <w:basedOn w:val="Normal"/>
    <w:uiPriority w:val="99"/>
    <w:rsid w:val="00004B9D"/>
    <w:pPr>
      <w:spacing w:beforeAutospacing="1" w:afterAutospacing="1"/>
      <w:jc w:val="left"/>
    </w:pPr>
    <w:rPr>
      <w:kern w:val="0"/>
    </w:rPr>
  </w:style>
  <w:style w:type="character" w:styleId="Hyperlink">
    <w:name w:val="Hyperlink"/>
    <w:basedOn w:val="DefaultParagraphFont"/>
    <w:uiPriority w:val="99"/>
    <w:rsid w:val="00004B9D"/>
    <w:rPr>
      <w:color w:val="0000FF"/>
      <w:sz w:val="24"/>
      <w:szCs w:val="24"/>
      <w:u w:val="single"/>
    </w:rPr>
  </w:style>
  <w:style w:type="paragraph" w:customStyle="1" w:styleId="a">
    <w:name w:val="一级标题#报告书#"/>
    <w:basedOn w:val="MessageHeader"/>
    <w:uiPriority w:val="99"/>
    <w:rsid w:val="00004B9D"/>
    <w:pPr>
      <w:spacing w:beforeLines="100" w:afterLines="200" w:line="360" w:lineRule="auto"/>
      <w:ind w:leftChars="0" w:left="0" w:firstLineChars="0" w:firstLine="0"/>
      <w:jc w:val="center"/>
    </w:pPr>
    <w:rPr>
      <w:b/>
      <w:bCs/>
      <w:sz w:val="44"/>
      <w:szCs w:val="44"/>
    </w:rPr>
  </w:style>
  <w:style w:type="paragraph" w:customStyle="1" w:styleId="a0">
    <w:name w:val="二级标题"/>
    <w:basedOn w:val="a"/>
    <w:uiPriority w:val="99"/>
    <w:rsid w:val="00004B9D"/>
    <w:pPr>
      <w:jc w:val="left"/>
    </w:pPr>
    <w:rPr>
      <w:sz w:val="28"/>
      <w:szCs w:val="28"/>
    </w:rPr>
  </w:style>
  <w:style w:type="paragraph" w:customStyle="1" w:styleId="a1">
    <w:name w:val="#报告书#三级标题"/>
    <w:basedOn w:val="Normal"/>
    <w:uiPriority w:val="99"/>
    <w:rsid w:val="00004B9D"/>
    <w:rPr>
      <w:rFonts w:ascii="Arial" w:hAnsi="Arial" w:cs="Arial"/>
    </w:rPr>
  </w:style>
  <w:style w:type="paragraph" w:customStyle="1" w:styleId="a2">
    <w:name w:val="#报告书正文#一级标题"/>
    <w:basedOn w:val="Normal"/>
    <w:next w:val="a3"/>
    <w:uiPriority w:val="99"/>
    <w:rsid w:val="00004B9D"/>
    <w:pPr>
      <w:spacing w:beforeLines="100" w:afterLines="200" w:line="360" w:lineRule="auto"/>
      <w:jc w:val="center"/>
    </w:pPr>
    <w:rPr>
      <w:b/>
      <w:bCs/>
      <w:sz w:val="44"/>
      <w:szCs w:val="44"/>
    </w:rPr>
  </w:style>
  <w:style w:type="paragraph" w:customStyle="1" w:styleId="a3">
    <w:name w:val="#报告书#正文"/>
    <w:basedOn w:val="Normal"/>
    <w:uiPriority w:val="99"/>
    <w:rsid w:val="00004B9D"/>
    <w:pPr>
      <w:spacing w:line="360" w:lineRule="auto"/>
      <w:ind w:firstLine="420"/>
    </w:pPr>
  </w:style>
  <w:style w:type="paragraph" w:customStyle="1" w:styleId="a4">
    <w:name w:val="#报告书正文#二级标题"/>
    <w:basedOn w:val="Normal"/>
    <w:next w:val="a3"/>
    <w:uiPriority w:val="99"/>
    <w:rsid w:val="00004B9D"/>
    <w:pPr>
      <w:spacing w:line="360" w:lineRule="auto"/>
    </w:pPr>
    <w:rPr>
      <w:b/>
      <w:bCs/>
      <w:sz w:val="32"/>
      <w:szCs w:val="32"/>
    </w:rPr>
  </w:style>
  <w:style w:type="paragraph" w:customStyle="1" w:styleId="a5">
    <w:name w:val="#报告书正文#三级标题"/>
    <w:basedOn w:val="Normal"/>
    <w:next w:val="a3"/>
    <w:uiPriority w:val="99"/>
    <w:rsid w:val="00004B9D"/>
    <w:pPr>
      <w:spacing w:line="360" w:lineRule="auto"/>
    </w:pPr>
    <w:rPr>
      <w:b/>
      <w:bCs/>
      <w:sz w:val="28"/>
      <w:szCs w:val="28"/>
    </w:rPr>
  </w:style>
  <w:style w:type="paragraph" w:customStyle="1" w:styleId="a6">
    <w:name w:val="#报告书正文#表格文字"/>
    <w:basedOn w:val="Normal"/>
    <w:uiPriority w:val="99"/>
    <w:rsid w:val="00004B9D"/>
    <w:pPr>
      <w:jc w:val="center"/>
    </w:pPr>
  </w:style>
  <w:style w:type="paragraph" w:customStyle="1" w:styleId="a7">
    <w:name w:val="#报告书#页眉"/>
    <w:basedOn w:val="Header"/>
    <w:uiPriority w:val="99"/>
    <w:rsid w:val="00004B9D"/>
    <w:pPr>
      <w:ind w:firstLine="420"/>
    </w:pPr>
  </w:style>
  <w:style w:type="paragraph" w:customStyle="1" w:styleId="a8">
    <w:name w:val="#报告书#图片标题"/>
    <w:basedOn w:val="MessageHeader"/>
    <w:uiPriority w:val="99"/>
    <w:rsid w:val="00004B9D"/>
    <w:pPr>
      <w:spacing w:line="360" w:lineRule="auto"/>
      <w:ind w:leftChars="0" w:left="0" w:firstLineChars="0" w:firstLine="0"/>
      <w:jc w:val="center"/>
    </w:pPr>
    <w:rPr>
      <w:b/>
      <w:bCs/>
      <w:sz w:val="21"/>
      <w:szCs w:val="21"/>
    </w:rPr>
  </w:style>
  <w:style w:type="paragraph" w:customStyle="1" w:styleId="a9">
    <w:name w:val="#报告书#图文"/>
    <w:uiPriority w:val="99"/>
    <w:rsid w:val="00004B9D"/>
    <w:rPr>
      <w:kern w:val="0"/>
      <w:szCs w:val="21"/>
    </w:rPr>
  </w:style>
  <w:style w:type="paragraph" w:customStyle="1" w:styleId="aa">
    <w:name w:val="#报告书#正文小标题"/>
    <w:uiPriority w:val="99"/>
    <w:rsid w:val="00004B9D"/>
    <w:pPr>
      <w:spacing w:line="360" w:lineRule="auto"/>
      <w:ind w:firstLineChars="200" w:firstLine="420"/>
    </w:pPr>
    <w:rPr>
      <w:kern w:val="0"/>
      <w:sz w:val="24"/>
      <w:szCs w:val="24"/>
    </w:rPr>
  </w:style>
  <w:style w:type="paragraph" w:customStyle="1" w:styleId="1">
    <w:name w:val="列出段落1"/>
    <w:basedOn w:val="Normal"/>
    <w:uiPriority w:val="99"/>
    <w:rsid w:val="00004B9D"/>
    <w:pPr>
      <w:widowControl/>
      <w:spacing w:line="360" w:lineRule="auto"/>
      <w:ind w:firstLineChars="200" w:firstLine="200"/>
    </w:pPr>
    <w:rPr>
      <w:kern w:val="0"/>
    </w:rPr>
  </w:style>
  <w:style w:type="paragraph" w:customStyle="1" w:styleId="ab">
    <w:name w:val="报告正文"/>
    <w:basedOn w:val="Normal"/>
    <w:link w:val="Char"/>
    <w:uiPriority w:val="99"/>
    <w:rsid w:val="00004B9D"/>
    <w:pPr>
      <w:adjustRightInd w:val="0"/>
      <w:snapToGrid w:val="0"/>
      <w:spacing w:line="312" w:lineRule="auto"/>
      <w:ind w:firstLineChars="200" w:firstLine="200"/>
    </w:pPr>
    <w:rPr>
      <w:rFonts w:ascii="宋体" w:cs="宋体"/>
    </w:rPr>
  </w:style>
  <w:style w:type="paragraph" w:customStyle="1" w:styleId="3">
    <w:name w:val="3级标题"/>
    <w:basedOn w:val="ac"/>
    <w:uiPriority w:val="99"/>
    <w:rsid w:val="00004B9D"/>
    <w:pPr>
      <w:spacing w:line="360" w:lineRule="auto"/>
    </w:pPr>
    <w:rPr>
      <w:sz w:val="28"/>
      <w:szCs w:val="28"/>
    </w:rPr>
  </w:style>
  <w:style w:type="paragraph" w:customStyle="1" w:styleId="ac">
    <w:name w:val="三级标题"/>
    <w:basedOn w:val="Heading3"/>
    <w:uiPriority w:val="99"/>
    <w:rsid w:val="00004B9D"/>
    <w:rPr>
      <w:color w:val="000000"/>
      <w:kern w:val="0"/>
    </w:rPr>
  </w:style>
  <w:style w:type="paragraph" w:customStyle="1" w:styleId="ad">
    <w:name w:val="四级标题"/>
    <w:basedOn w:val="Heading4"/>
    <w:uiPriority w:val="99"/>
    <w:rsid w:val="00004B9D"/>
    <w:pPr>
      <w:ind w:left="0" w:firstLineChars="200" w:firstLine="200"/>
    </w:pPr>
  </w:style>
  <w:style w:type="paragraph" w:customStyle="1" w:styleId="11">
    <w:name w:val="正文11"/>
    <w:basedOn w:val="Normal"/>
    <w:uiPriority w:val="99"/>
    <w:rsid w:val="00004B9D"/>
    <w:pPr>
      <w:spacing w:line="360" w:lineRule="auto"/>
      <w:ind w:firstLineChars="200" w:firstLine="200"/>
    </w:pPr>
  </w:style>
  <w:style w:type="paragraph" w:customStyle="1" w:styleId="ae">
    <w:name w:val="表格"/>
    <w:basedOn w:val="Normal"/>
    <w:uiPriority w:val="99"/>
    <w:rsid w:val="00004B9D"/>
    <w:pPr>
      <w:adjustRightInd w:val="0"/>
      <w:snapToGrid w:val="0"/>
      <w:spacing w:line="240" w:lineRule="auto"/>
      <w:jc w:val="center"/>
    </w:pPr>
    <w:rPr>
      <w:spacing w:val="4"/>
      <w:sz w:val="18"/>
      <w:szCs w:val="18"/>
    </w:rPr>
  </w:style>
  <w:style w:type="paragraph" w:customStyle="1" w:styleId="111">
    <w:name w:val="正文111"/>
    <w:basedOn w:val="af"/>
    <w:uiPriority w:val="99"/>
    <w:rsid w:val="00004B9D"/>
    <w:pPr>
      <w:ind w:firstLineChars="200" w:firstLine="480"/>
    </w:pPr>
  </w:style>
  <w:style w:type="paragraph" w:customStyle="1" w:styleId="af">
    <w:name w:val="文本正文"/>
    <w:basedOn w:val="Normal"/>
    <w:uiPriority w:val="99"/>
    <w:rsid w:val="00004B9D"/>
    <w:pPr>
      <w:spacing w:line="360" w:lineRule="auto"/>
    </w:pPr>
  </w:style>
  <w:style w:type="paragraph" w:customStyle="1" w:styleId="af0">
    <w:name w:val="正文小标题"/>
    <w:uiPriority w:val="99"/>
    <w:rsid w:val="00004B9D"/>
    <w:pPr>
      <w:spacing w:line="360" w:lineRule="auto"/>
      <w:ind w:firstLineChars="200" w:firstLine="200"/>
    </w:pPr>
    <w:rPr>
      <w:sz w:val="24"/>
      <w:szCs w:val="24"/>
    </w:rPr>
  </w:style>
  <w:style w:type="paragraph" w:customStyle="1" w:styleId="2">
    <w:name w:val="2级标题"/>
    <w:basedOn w:val="21"/>
    <w:uiPriority w:val="99"/>
    <w:rsid w:val="00004B9D"/>
  </w:style>
  <w:style w:type="paragraph" w:customStyle="1" w:styleId="21">
    <w:name w:val="样式 标题 2 .1"/>
    <w:basedOn w:val="Heading2"/>
    <w:uiPriority w:val="99"/>
    <w:rsid w:val="00004B9D"/>
    <w:pPr>
      <w:spacing w:line="360" w:lineRule="auto"/>
      <w:ind w:left="0"/>
    </w:pPr>
    <w:rPr>
      <w:b/>
      <w:bCs/>
    </w:rPr>
  </w:style>
  <w:style w:type="paragraph" w:customStyle="1" w:styleId="af1">
    <w:name w:val="表头"/>
    <w:basedOn w:val="Normal"/>
    <w:uiPriority w:val="99"/>
    <w:rsid w:val="00004B9D"/>
    <w:pPr>
      <w:spacing w:beforeLines="100" w:line="360" w:lineRule="auto"/>
      <w:jc w:val="center"/>
    </w:pPr>
    <w:rPr>
      <w:rFonts w:eastAsia="黑体"/>
    </w:rPr>
  </w:style>
  <w:style w:type="paragraph" w:customStyle="1" w:styleId="20">
    <w:name w:val="表格2"/>
    <w:basedOn w:val="10"/>
    <w:next w:val="10"/>
    <w:uiPriority w:val="99"/>
    <w:rsid w:val="00004B9D"/>
    <w:pPr>
      <w:adjustRightInd w:val="0"/>
      <w:spacing w:line="360" w:lineRule="exact"/>
      <w:textAlignment w:val="baseline"/>
    </w:pPr>
    <w:rPr>
      <w:spacing w:val="-8"/>
    </w:rPr>
  </w:style>
  <w:style w:type="paragraph" w:customStyle="1" w:styleId="10">
    <w:name w:val="表格1"/>
    <w:basedOn w:val="Normal"/>
    <w:uiPriority w:val="99"/>
    <w:rsid w:val="00004B9D"/>
    <w:pPr>
      <w:spacing w:line="240" w:lineRule="auto"/>
      <w:jc w:val="center"/>
    </w:pPr>
    <w:rPr>
      <w:kern w:val="0"/>
      <w:sz w:val="21"/>
      <w:szCs w:val="21"/>
    </w:rPr>
  </w:style>
  <w:style w:type="character" w:customStyle="1" w:styleId="110">
    <w:name w:val="表格11"/>
    <w:uiPriority w:val="99"/>
    <w:rsid w:val="00004B9D"/>
    <w:rPr>
      <w:rFonts w:ascii="Times New Roman" w:eastAsia="宋体" w:hAnsi="Times New Roman" w:cs="Times New Roman"/>
      <w:kern w:val="0"/>
      <w:sz w:val="21"/>
      <w:szCs w:val="21"/>
    </w:rPr>
  </w:style>
  <w:style w:type="paragraph" w:customStyle="1" w:styleId="af2">
    <w:name w:val="表格正文"/>
    <w:basedOn w:val="Normal"/>
    <w:uiPriority w:val="99"/>
    <w:rsid w:val="00004B9D"/>
    <w:pPr>
      <w:adjustRightInd w:val="0"/>
      <w:snapToGrid w:val="0"/>
      <w:spacing w:line="360" w:lineRule="exact"/>
      <w:jc w:val="center"/>
    </w:pPr>
    <w:rPr>
      <w:sz w:val="21"/>
      <w:szCs w:val="21"/>
    </w:rPr>
  </w:style>
  <w:style w:type="paragraph" w:customStyle="1" w:styleId="af3">
    <w:name w:val="表格文字"/>
    <w:basedOn w:val="Normal"/>
    <w:next w:val="Normal"/>
    <w:uiPriority w:val="99"/>
    <w:rsid w:val="00004B9D"/>
    <w:pPr>
      <w:snapToGrid w:val="0"/>
      <w:spacing w:line="360" w:lineRule="atLeast"/>
      <w:jc w:val="center"/>
    </w:pPr>
    <w:rPr>
      <w:rFonts w:ascii="宋体" w:hAnsi="宋体" w:cs="宋体"/>
      <w:sz w:val="21"/>
      <w:szCs w:val="21"/>
    </w:rPr>
  </w:style>
  <w:style w:type="character" w:customStyle="1" w:styleId="Char">
    <w:name w:val="报告正文 Char"/>
    <w:link w:val="ab"/>
    <w:uiPriority w:val="99"/>
    <w:locked/>
    <w:rsid w:val="004961D5"/>
    <w:rPr>
      <w:rFonts w:ascii="宋体" w:eastAsia="宋体" w:cs="宋体"/>
      <w:kern w:val="2"/>
      <w:sz w:val="24"/>
      <w:szCs w:val="24"/>
      <w:lang w:val="en-US"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ike.baidu.com/view/6843.ht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ike.baidu.com/view/22520.htm"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hyperlink" Target="http://baike.baidu.com/view/49817.ht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baike.baidu.com/view/17789.htm"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TotalTime>
  <Pages>44</Pages>
  <Words>4805</Words>
  <Characters>27392</Characters>
  <Application>Microsoft Office Outlook</Application>
  <DocSecurity>0</DocSecurity>
  <Lines>0</Lines>
  <Paragraphs>0</Paragraphs>
  <ScaleCrop>false</ScaleCrop>
  <Company>zqu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不忘初心</dc:creator>
  <cp:keywords/>
  <dc:description/>
  <cp:lastModifiedBy>qinjianqiao</cp:lastModifiedBy>
  <cp:revision>5</cp:revision>
  <dcterms:created xsi:type="dcterms:W3CDTF">2017-04-26T04:42:00Z</dcterms:created>
  <dcterms:modified xsi:type="dcterms:W3CDTF">2017-04-26T15:41:00Z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