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9C" w:rsidRDefault="003D729C" w:rsidP="003D729C">
      <w:pPr>
        <w:widowControl/>
        <w:shd w:val="clear" w:color="auto" w:fill="FFFFFF"/>
        <w:spacing w:line="420" w:lineRule="atLeast"/>
        <w:jc w:val="center"/>
        <w:rPr>
          <w:rFonts w:ascii="仿宋" w:eastAsia="仿宋" w:hAnsi="仿宋" w:cs="宋体"/>
          <w:b/>
          <w:color w:val="333333"/>
          <w:kern w:val="0"/>
          <w:sz w:val="44"/>
          <w:szCs w:val="44"/>
        </w:rPr>
      </w:pPr>
    </w:p>
    <w:p w:rsidR="003D729C" w:rsidRDefault="003D729C" w:rsidP="003D729C">
      <w:pPr>
        <w:widowControl/>
        <w:shd w:val="clear" w:color="auto" w:fill="FFFFFF"/>
        <w:spacing w:line="420" w:lineRule="atLeast"/>
        <w:jc w:val="center"/>
        <w:rPr>
          <w:rFonts w:ascii="仿宋" w:eastAsia="仿宋" w:hAnsi="仿宋" w:cs="宋体" w:hint="eastAsia"/>
          <w:b/>
          <w:color w:val="333333"/>
          <w:kern w:val="0"/>
          <w:sz w:val="44"/>
          <w:szCs w:val="44"/>
        </w:rPr>
      </w:pPr>
      <w:bookmarkStart w:id="0" w:name="_GoBack"/>
      <w:r>
        <w:rPr>
          <w:rFonts w:ascii="仿宋" w:eastAsia="仿宋" w:hAnsi="仿宋" w:cs="宋体" w:hint="eastAsia"/>
          <w:b/>
          <w:color w:val="333333"/>
          <w:kern w:val="0"/>
          <w:sz w:val="44"/>
          <w:szCs w:val="44"/>
        </w:rPr>
        <w:t>道路运输车辆动态监督管理办法</w:t>
      </w:r>
    </w:p>
    <w:bookmarkEnd w:id="0"/>
    <w:p w:rsidR="003D729C" w:rsidRDefault="003D729C" w:rsidP="003D729C">
      <w:pPr>
        <w:widowControl/>
        <w:shd w:val="clear" w:color="auto" w:fill="FFFFFF"/>
        <w:spacing w:line="420" w:lineRule="atLeast"/>
        <w:jc w:val="center"/>
        <w:rPr>
          <w:rFonts w:ascii="仿宋" w:eastAsia="仿宋" w:hAnsi="仿宋" w:cs="宋体" w:hint="eastAsia"/>
          <w:b/>
          <w:color w:val="333333"/>
          <w:kern w:val="0"/>
          <w:sz w:val="44"/>
          <w:szCs w:val="44"/>
        </w:rPr>
      </w:pPr>
    </w:p>
    <w:p w:rsidR="003D729C" w:rsidRDefault="003D729C" w:rsidP="003D729C">
      <w:pPr>
        <w:widowControl/>
        <w:shd w:val="clear" w:color="auto" w:fill="FFFFFF"/>
        <w:spacing w:line="420" w:lineRule="atLeast"/>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(2014年1月28日交通运输部 公安部 国家安全生产监督管理总局发布 根据2016年4月20日《交通运输部 公安部 国家安全生产监督管理总局关于修改〈道路运输车辆动态监督管理办法〉的决定》修正)</w:t>
      </w:r>
    </w:p>
    <w:p w:rsidR="003D729C" w:rsidRDefault="003D729C" w:rsidP="003D729C">
      <w:pPr>
        <w:widowControl/>
        <w:shd w:val="clear" w:color="auto" w:fill="FFFFFF"/>
        <w:spacing w:line="420" w:lineRule="atLeast"/>
        <w:jc w:val="center"/>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第一章　总　则</w:t>
      </w:r>
    </w:p>
    <w:p w:rsidR="003D729C" w:rsidRDefault="003D729C" w:rsidP="003D729C">
      <w:pPr>
        <w:widowControl/>
        <w:shd w:val="clear" w:color="auto" w:fill="FFFFFF"/>
        <w:spacing w:line="420" w:lineRule="atLeast"/>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第一条为加强道路运输车辆动态监督管理，预防和减少道路交通事故，依据《中华人民共和国安全生产法》《中华人民共和国道路交通安全法实施条例》《中华人民共和国道路运输条例》等有关法律法规，制定本办法。</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第二条道路运输车辆安装、使用具有行驶记录功能的卫星定位装置（以下简称卫星定位装置）以及相关安全监督管理活动，适用本办法。</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第三条本办法所称道路运输车辆，包括用于公路营运的载客汽车、危险货物运输车辆、半挂牵引车以及重型载货汽车（总质量为12吨及以上的普通货运车辆）。</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第四条道路运输车辆动态监督管理应当遵循企业监控、政府监管、联网联控的原则。</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第五条道路运输管理机构、公安机关交通管理部门、安</w:t>
      </w:r>
      <w:r>
        <w:rPr>
          <w:rFonts w:ascii="仿宋" w:eastAsia="仿宋" w:hAnsi="仿宋" w:cs="宋体" w:hint="eastAsia"/>
          <w:color w:val="333333"/>
          <w:kern w:val="0"/>
          <w:sz w:val="32"/>
          <w:szCs w:val="32"/>
        </w:rPr>
        <w:lastRenderedPageBreak/>
        <w:t>全监管部门依据法定职责，对道路运输车辆动态监控工作实施联合监督管理。</w:t>
      </w:r>
    </w:p>
    <w:p w:rsidR="003D729C" w:rsidRDefault="003D729C" w:rsidP="003D729C">
      <w:pPr>
        <w:widowControl/>
        <w:shd w:val="clear" w:color="auto" w:fill="FFFFFF"/>
        <w:spacing w:line="420" w:lineRule="atLeast"/>
        <w:jc w:val="center"/>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第二章　系统建设</w:t>
      </w:r>
    </w:p>
    <w:p w:rsidR="003D729C" w:rsidRDefault="003D729C" w:rsidP="003D729C">
      <w:pPr>
        <w:widowControl/>
        <w:shd w:val="clear" w:color="auto" w:fill="FFFFFF"/>
        <w:spacing w:line="420" w:lineRule="atLeast"/>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第六条道路运输车辆卫星定位系统平台应当符合以下标准要求：</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（一）《道路运输车辆卫星定位系统平台技术要求》（JT/T 796）；</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（二）《道路运输车辆卫星定位系统终端通讯协议及数据格式》（JT/T 808）；</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（三）《道路运输车辆卫星定位系统平台数据交换》（JT/T 809）。</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第七条在道路运输车辆上安装的卫星定位装置应符合以下标准要求：</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（一）《道路运输车辆卫星定位系统车载终端技术要求》(JT/T 794)；</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（二）《道路运输车辆卫星定位系统终端通讯协议及数据格式》（JT/T 808）；</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（三）《机动车运行安全技术条件》（GB7258）；</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（四）《汽车行驶记录仪》（GB/T 19056）。</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第八条道路运输车辆卫星定位系统平台和车载终端应当通过有关专业机构的标准符合性技术审查。对通过标准符合性技术审查的系统平台和车载终端，由交通运输部发布公</w:t>
      </w:r>
      <w:r>
        <w:rPr>
          <w:rFonts w:ascii="仿宋" w:eastAsia="仿宋" w:hAnsi="仿宋" w:cs="宋体" w:hint="eastAsia"/>
          <w:color w:val="333333"/>
          <w:kern w:val="0"/>
          <w:sz w:val="32"/>
          <w:szCs w:val="32"/>
        </w:rPr>
        <w:lastRenderedPageBreak/>
        <w:t>告。</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九条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第十条道路运输企业新建或者变更监控平台，在投入使用前应当通过有关专业机构的系统平台标准符合性技术审查，并向原发放《道路运输经营许可证》的道路运输管理机构备案。</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第十一条提供道路运输车辆动态监控社会化服务的,应当向省级道路运输管理机构备案，并提供以下材料：</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（一）营业执照；</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（二）服务格式条款、服务承诺；</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（三）履行服务能力的相关证明材料；</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（四）通过系统平台标准符合性技术审查的证明材料。</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二条旅游客车、包车客车、三类以上班线客车和危险货物运输车辆在出厂前应当安装符合标准的卫星定位装置。重型载货汽车和半挂牵引车在出厂前应当安装符合标准的卫星定位装置，并接入全国道路货运车辆公共监管与服务平台（以下简称道路货运车辆公共平台）。</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r>
      <w:r>
        <w:rPr>
          <w:rFonts w:ascii="仿宋" w:eastAsia="仿宋" w:hAnsi="仿宋" w:cs="宋体" w:hint="eastAsia"/>
          <w:color w:val="333333"/>
          <w:kern w:val="0"/>
          <w:sz w:val="32"/>
          <w:szCs w:val="32"/>
        </w:rPr>
        <w:lastRenderedPageBreak/>
        <w:t xml:space="preserve">　　车辆制造企业为道路运输车辆安装符合标准的卫星定位装置后，应当随车附带相关安装证明材料。</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第十三条道路运输经营者应当选购安装符合标准的卫星定位装置的车辆，并接入符合要求的监控平台。</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第十四条道路运输企业应当在监控平台中完整、准确地录入所属道路运输车辆和驾驶人员的基础资料等信息，并及时更新。</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五条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道路货运企业监控平台应当与道路货运车辆公共平台对接，按照要求将企业、驾驶人员、车辆的相关信息上传至道路货运车辆公共平台，并接收道路货运车辆公共平台转发的货运车辆行驶的动态信息。</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第十六条道路运输管理机构在办理营运手续时，应当对道路运输车辆安装卫星定位装置及接入系统平台的情况进行审核。</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第十七条对新出厂车辆已安装的卫星定位装置，任何单位和个人不得随意拆卸。除危险货物运输车辆接入联网联控系统监控平台时按照有关标准要求进行相应设置以外，不得</w:t>
      </w:r>
      <w:r>
        <w:rPr>
          <w:rFonts w:ascii="仿宋" w:eastAsia="仿宋" w:hAnsi="仿宋" w:cs="宋体" w:hint="eastAsia"/>
          <w:color w:val="333333"/>
          <w:kern w:val="0"/>
          <w:sz w:val="32"/>
          <w:szCs w:val="32"/>
        </w:rPr>
        <w:lastRenderedPageBreak/>
        <w:t>改变货运车辆车载终端监控中心的域名设置。</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八条道路运输管理机构负责建设和维护道路运输车辆动态信息公共服务平台，落实维护经费，向地方人民政府争取纳入年度预算。道路运输管理机构应当建立逐级考核和通报制度，保证联网联控系统长期稳定运行。</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第十九条道路运输管理机构、公安机关交通管理部门、安全监管部门间应当建立信息共享机制。</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公安机关交通管理部门、安全监管部门根据需要可以通过道路运输车辆动态信息公共服务平台，随时或者定期调取系统数据。</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第二十条任何单位、个人不得擅自泄露、删除、篡改卫星定位系统平台的历史和实时动态数据。</w:t>
      </w:r>
    </w:p>
    <w:p w:rsidR="003D729C" w:rsidRDefault="003D729C" w:rsidP="003D729C">
      <w:pPr>
        <w:widowControl/>
        <w:shd w:val="clear" w:color="auto" w:fill="FFFFFF"/>
        <w:spacing w:line="420" w:lineRule="atLeast"/>
        <w:jc w:val="center"/>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第三章　车辆监控</w:t>
      </w:r>
    </w:p>
    <w:p w:rsidR="003D729C" w:rsidRDefault="003D729C" w:rsidP="003D729C">
      <w:pPr>
        <w:widowControl/>
        <w:shd w:val="clear" w:color="auto" w:fill="FFFFFF"/>
        <w:spacing w:line="420" w:lineRule="atLeast"/>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第二十一条道路运输企业是道路运输车辆动态监控的责任主体。</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二十二条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监控人员应当掌握国家相关法规和政策，经运输企业培训、考试合格后上岗。</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r>
      <w:r>
        <w:rPr>
          <w:rFonts w:ascii="仿宋" w:eastAsia="仿宋" w:hAnsi="仿宋" w:cs="宋体" w:hint="eastAsia"/>
          <w:color w:val="333333"/>
          <w:kern w:val="0"/>
          <w:sz w:val="32"/>
          <w:szCs w:val="32"/>
        </w:rPr>
        <w:lastRenderedPageBreak/>
        <w:t xml:space="preserve">　　第二十三条道路货运车辆公共平台负责对个体货运车辆和小型道路货物运输企业（拥有50辆以下重型载货汽车或牵引车）的货运车辆进行动态监控。道路货运车辆公共平台设置监控超速行驶和疲劳驾驶的限值，自动提醒驾驶员纠正超速行驶、疲劳驾驶等违法行为。</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第二十四条道路运输企业应当建立健全动态监控管理相关制度，规范动态监控工作：</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（一）系统平台的建设、维护及管理制度；</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（二）车载终端安装、使用及维护制度；</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（三）监控人员岗位职责及管理制度；</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（四）交通违法动态信息处理和统计分析制度；</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（五）其他需要建立的制度。</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二十五条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设置超速行驶和疲劳驾驶的限值，应当符合客运驾驶员24小时累计驾驶时间原则上不超过8小时，日间连续驾驶不超过4小时，夜间连续驾驶不超过2小时，每次停车休息时间不少于20分钟，客运车辆夜间行驶速度不得超过日间限速80%的要求。</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r>
      <w:r>
        <w:rPr>
          <w:rFonts w:ascii="仿宋" w:eastAsia="仿宋" w:hAnsi="仿宋" w:cs="宋体" w:hint="eastAsia"/>
          <w:color w:val="333333"/>
          <w:kern w:val="0"/>
          <w:sz w:val="32"/>
          <w:szCs w:val="32"/>
        </w:rPr>
        <w:lastRenderedPageBreak/>
        <w:t xml:space="preserve">　　第二十六条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动态监控数据应当至少保存6个月，违法驾驶信息及处理情况应当至少保存3年。对存在交通违法信息的驾驶员，道路运输企业在事后应当及时给予处理。</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第二十七条道路运输经营者应当确保卫星定位装置正常使用，保持车辆运行实时在线。</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卫星定位装置出现故障不能保持在线的道路运输车辆，道路运输经营者不得安排其从事道路运输经营活动。</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第二十八条任何单位和个人不得破坏卫星定位装置以及恶意人为干扰、屏蔽卫星定位装置信号，不得篡改卫星定位装置数据。</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第二十九条卫星定位系统平台应当提供持续、可靠的技术服务，保证车辆动态监控数据真实、准确，确保提供监控服务的系统平台安全、稳定运行。</w:t>
      </w:r>
    </w:p>
    <w:p w:rsidR="003D729C" w:rsidRDefault="003D729C" w:rsidP="003D729C">
      <w:pPr>
        <w:widowControl/>
        <w:shd w:val="clear" w:color="auto" w:fill="FFFFFF"/>
        <w:spacing w:line="420" w:lineRule="atLeast"/>
        <w:jc w:val="center"/>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第四章　监督检查</w:t>
      </w:r>
    </w:p>
    <w:p w:rsidR="003D729C" w:rsidRDefault="003D729C" w:rsidP="003D729C">
      <w:pPr>
        <w:widowControl/>
        <w:shd w:val="clear" w:color="auto" w:fill="FFFFFF"/>
        <w:spacing w:line="420" w:lineRule="atLeast"/>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lastRenderedPageBreak/>
        <w:t xml:space="preserve">　　第三十条道路运输管理机构应当充分发挥监控平台的作用，定期对道路运输企业动态监控工作的情况进行监督考核，并将其纳入企业质量信誉考核的内容，作为运输企业班线招标和年度审验的重要依据。</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第三十一条公安机关交通管理部门可以将道路运输车辆动态监控系统记录的交通违法信息作为执法依据，依法查处。</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第三十二条安全监管部门应当按照有关规定认真开展事故调查工作，严肃查处违反本办法规定的责任单位和人员。</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十三条道路运输管理机构、公安机关交通管理部门、安全监管部门监督检查人员可以向被检查单位和个人了解情况，查阅和复制有关材料。被监督检查的单位和个人应当积极配合监督检查，如实提供有关资料和说明情况。</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第三十四条鼓励各地利用卫星定位装置，对营运驾驶员安全行驶里程进行统计分析，开展安全行车驾驶员竞赛活动。</w:t>
      </w:r>
    </w:p>
    <w:p w:rsidR="003D729C" w:rsidRDefault="003D729C" w:rsidP="003D729C">
      <w:pPr>
        <w:widowControl/>
        <w:shd w:val="clear" w:color="auto" w:fill="FFFFFF"/>
        <w:spacing w:line="420" w:lineRule="atLeast"/>
        <w:jc w:val="center"/>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第五章　法律责任</w:t>
      </w:r>
    </w:p>
    <w:p w:rsidR="003D729C" w:rsidRDefault="003D729C" w:rsidP="003D729C">
      <w:pPr>
        <w:widowControl/>
        <w:shd w:val="clear" w:color="auto" w:fill="FFFFFF"/>
        <w:spacing w:line="420" w:lineRule="atLeast"/>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lastRenderedPageBreak/>
        <w:t xml:space="preserve">　　第三十五条道路运输管理机构对未按照要求安装卫星定位装置，或者已安装卫星定位装置但未能在联网联控系统（重型载货汽车和半挂牵引车未能在道路货运车辆公共平台）正常显示的车辆，不予发放或者审验《道路运输证》。</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第三十六条违反本办法的规定，道路运输企业有下列情形之一的，由县级以上道路运输管理机构责令改正。拒不改正的，处3000元以上8000元以下罚款：</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（一）道路运输企业未使用符合标准的监控平台、监控平台未接入联网联控系统、未按规定上传道路运输车辆动态信息的；</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（二）未建立或者未有效执行交通违法动态信息处理制度、对驾驶员交通违法处理率低于90%的；</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（三）未按规定配备专职监控人员的。</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第三十七条违反本办法的规定，道路运输经营者使用卫星定位装置出现故障不能保持在线的运输车辆从事经营活动的，由县级以上道路运输管理机构责令改正。拒不改正的，处800元罚款。</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第三十八条违反本办法的规定，有下列情形之一的，由县级以上道路运输管理机构责令改正，处2000元以上5000元以下罚款：</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（一）破坏卫星定位装置以及恶意人为干扰、屏蔽卫星定位装置信号的；</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r>
      <w:r>
        <w:rPr>
          <w:rFonts w:ascii="仿宋" w:eastAsia="仿宋" w:hAnsi="仿宋" w:cs="宋体" w:hint="eastAsia"/>
          <w:color w:val="333333"/>
          <w:kern w:val="0"/>
          <w:sz w:val="32"/>
          <w:szCs w:val="32"/>
        </w:rPr>
        <w:lastRenderedPageBreak/>
        <w:t xml:space="preserve">　　（二）伪造、篡改、删除车辆动态监控数据的。</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第三十九条违反本办法的规定，发生道路交通事故的，具有第三十六条、第三十七条、第三十八条情形之一的，依法追究相关人员的责任；构成犯罪的，依法追究刑事责任。</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第四十条道路运输管理机构、公安机关交通管理部门、安全监管部门工作人员执行本办法过程中玩忽职守、滥用职权、徇私舞弊的，给予行政处分；构成犯罪的，依法追究刑事责任。</w:t>
      </w:r>
    </w:p>
    <w:p w:rsidR="003D729C" w:rsidRDefault="003D729C" w:rsidP="003D729C">
      <w:pPr>
        <w:widowControl/>
        <w:shd w:val="clear" w:color="auto" w:fill="FFFFFF"/>
        <w:spacing w:line="420" w:lineRule="atLeast"/>
        <w:jc w:val="center"/>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第六章　附　则</w:t>
      </w:r>
    </w:p>
    <w:p w:rsidR="00B717CC" w:rsidRDefault="003D729C" w:rsidP="003D729C">
      <w:r>
        <w:rPr>
          <w:rFonts w:ascii="仿宋" w:eastAsia="仿宋" w:hAnsi="仿宋" w:cs="宋体" w:hint="eastAsia"/>
          <w:color w:val="333333"/>
          <w:kern w:val="0"/>
          <w:sz w:val="32"/>
          <w:szCs w:val="32"/>
        </w:rPr>
        <w:t xml:space="preserve">　　第四十一条在本办法实施前已经进入运输市场的重型载货汽车和半挂牵引车，应当于2015年12月31日前全部安装、使用卫星定位装置，并接入道路货运车辆公共平台。</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农村客运车辆动态监督管理可参照本办法执行。</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br/>
        <w:t xml:space="preserve">　　第四十二条本办法自2014年7月1日起施行。</w:t>
      </w:r>
    </w:p>
    <w:sectPr w:rsidR="00B71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CB"/>
    <w:rsid w:val="003D29CB"/>
    <w:rsid w:val="003D729C"/>
    <w:rsid w:val="00B7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3894</Characters>
  <Application>Microsoft Office Word</Application>
  <DocSecurity>0</DocSecurity>
  <Lines>32</Lines>
  <Paragraphs>9</Paragraphs>
  <ScaleCrop>false</ScaleCrop>
  <Company>Microsoft</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李军</dc:creator>
  <cp:keywords/>
  <dc:description/>
  <cp:lastModifiedBy>李军</cp:lastModifiedBy>
  <cp:revision>3</cp:revision>
  <dcterms:created xsi:type="dcterms:W3CDTF">2017-09-07T02:36:00Z</dcterms:created>
  <dcterms:modified xsi:type="dcterms:W3CDTF">2017-09-07T02:36:00Z</dcterms:modified>
</cp:coreProperties>
</file>