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61" w:rsidRPr="003A7061" w:rsidRDefault="003A7061" w:rsidP="003A7061">
      <w:pPr>
        <w:rPr>
          <w:rFonts w:ascii="仿宋_GB2312" w:hAnsiTheme="majorEastAsia"/>
          <w:sz w:val="24"/>
          <w:szCs w:val="24"/>
        </w:rPr>
      </w:pPr>
      <w:r>
        <w:rPr>
          <w:rFonts w:asciiTheme="majorEastAsia" w:eastAsiaTheme="majorEastAsia" w:hAnsiTheme="majorEastAsia" w:hint="eastAsia"/>
          <w:b/>
          <w:sz w:val="44"/>
          <w:szCs w:val="44"/>
        </w:rPr>
        <w:t xml:space="preserve">   </w:t>
      </w:r>
      <w:r w:rsidRPr="003A7061">
        <w:rPr>
          <w:rFonts w:ascii="仿宋_GB2312" w:hAnsiTheme="majorEastAsia" w:hint="eastAsia"/>
          <w:sz w:val="24"/>
          <w:szCs w:val="24"/>
        </w:rPr>
        <w:t>附件2：</w:t>
      </w:r>
    </w:p>
    <w:p w:rsidR="00EC2C7C" w:rsidRPr="003A7061" w:rsidRDefault="003A7061" w:rsidP="003A7061">
      <w:pPr>
        <w:jc w:val="center"/>
        <w:rPr>
          <w:rFonts w:asciiTheme="majorEastAsia" w:eastAsiaTheme="majorEastAsia" w:hAnsiTheme="majorEastAsia"/>
          <w:b/>
          <w:sz w:val="44"/>
          <w:szCs w:val="44"/>
        </w:rPr>
      </w:pPr>
      <w:r w:rsidRPr="003A7061">
        <w:rPr>
          <w:rFonts w:asciiTheme="majorEastAsia" w:eastAsiaTheme="majorEastAsia" w:hAnsiTheme="majorEastAsia" w:hint="eastAsia"/>
          <w:b/>
          <w:sz w:val="44"/>
          <w:szCs w:val="44"/>
        </w:rPr>
        <w:t>梅州市公路事故和故障车辆吊车服务收费标准表</w:t>
      </w:r>
    </w:p>
    <w:tbl>
      <w:tblPr>
        <w:tblW w:w="15063" w:type="dxa"/>
        <w:jc w:val="center"/>
        <w:tblInd w:w="-2483" w:type="dxa"/>
        <w:tblLook w:val="04A0" w:firstRow="1" w:lastRow="0" w:firstColumn="1" w:lastColumn="0" w:noHBand="0" w:noVBand="1"/>
      </w:tblPr>
      <w:tblGrid>
        <w:gridCol w:w="1135"/>
        <w:gridCol w:w="4220"/>
        <w:gridCol w:w="1640"/>
        <w:gridCol w:w="8068"/>
      </w:tblGrid>
      <w:tr w:rsidR="00A71275" w:rsidRPr="00A71275" w:rsidTr="00A71275">
        <w:trPr>
          <w:trHeight w:val="908"/>
          <w:jc w:val="center"/>
        </w:trPr>
        <w:tc>
          <w:tcPr>
            <w:tcW w:w="1135" w:type="dxa"/>
            <w:tcBorders>
              <w:top w:val="single" w:sz="4" w:space="0" w:color="000000"/>
              <w:left w:val="single" w:sz="4" w:space="0" w:color="000000"/>
              <w:right w:val="single" w:sz="4" w:space="0" w:color="000000"/>
            </w:tcBorders>
            <w:shd w:val="clear" w:color="auto" w:fill="auto"/>
            <w:vAlign w:val="center"/>
          </w:tcPr>
          <w:p w:rsidR="00A71275" w:rsidRPr="00A71275" w:rsidRDefault="00A71275" w:rsidP="00F546F0">
            <w:pPr>
              <w:widowControl/>
              <w:ind w:rightChars="-3624" w:right="-11597" w:firstLineChars="50" w:firstLine="120"/>
              <w:rPr>
                <w:rFonts w:ascii="仿宋_GB2312" w:hAnsi="宋体" w:cs="宋体"/>
                <w:b/>
                <w:kern w:val="0"/>
                <w:sz w:val="24"/>
                <w:szCs w:val="24"/>
              </w:rPr>
            </w:pPr>
            <w:r w:rsidRPr="00A71275">
              <w:rPr>
                <w:rFonts w:ascii="仿宋_GB2312" w:hAnsi="宋体" w:cs="宋体" w:hint="eastAsia"/>
                <w:b/>
                <w:kern w:val="0"/>
                <w:sz w:val="24"/>
                <w:szCs w:val="24"/>
              </w:rPr>
              <w:t>车类</w:t>
            </w:r>
          </w:p>
        </w:tc>
        <w:tc>
          <w:tcPr>
            <w:tcW w:w="4220" w:type="dxa"/>
            <w:tcBorders>
              <w:top w:val="single" w:sz="4" w:space="0" w:color="000000"/>
              <w:left w:val="single" w:sz="4" w:space="0" w:color="000000"/>
              <w:right w:val="nil"/>
            </w:tcBorders>
            <w:shd w:val="clear" w:color="auto" w:fill="auto"/>
            <w:vAlign w:val="center"/>
          </w:tcPr>
          <w:p w:rsidR="00A71275" w:rsidRPr="00A71275" w:rsidRDefault="00A71275" w:rsidP="00753C4C">
            <w:pPr>
              <w:widowControl/>
              <w:jc w:val="center"/>
              <w:rPr>
                <w:rFonts w:ascii="仿宋_GB2312" w:hAnsi="宋体" w:cs="宋体"/>
                <w:b/>
                <w:kern w:val="0"/>
                <w:sz w:val="24"/>
                <w:szCs w:val="24"/>
              </w:rPr>
            </w:pPr>
            <w:r w:rsidRPr="00A71275">
              <w:rPr>
                <w:rFonts w:ascii="仿宋_GB2312" w:hAnsi="宋体" w:cs="宋体" w:hint="eastAsia"/>
                <w:b/>
                <w:kern w:val="0"/>
                <w:sz w:val="24"/>
                <w:szCs w:val="24"/>
              </w:rPr>
              <w:t>车辆类型</w:t>
            </w:r>
          </w:p>
        </w:tc>
        <w:tc>
          <w:tcPr>
            <w:tcW w:w="1640" w:type="dxa"/>
            <w:tcBorders>
              <w:top w:val="single" w:sz="4" w:space="0" w:color="000000"/>
              <w:left w:val="single" w:sz="4" w:space="0" w:color="000000"/>
              <w:bottom w:val="single" w:sz="4" w:space="0" w:color="auto"/>
              <w:right w:val="single" w:sz="4" w:space="0" w:color="000000"/>
            </w:tcBorders>
            <w:vAlign w:val="center"/>
          </w:tcPr>
          <w:p w:rsidR="00A71275" w:rsidRPr="00A71275" w:rsidRDefault="00A71275" w:rsidP="00753C4C">
            <w:pPr>
              <w:widowControl/>
              <w:jc w:val="center"/>
              <w:rPr>
                <w:rFonts w:ascii="仿宋_GB2312" w:hAnsi="宋体" w:cs="宋体"/>
                <w:b/>
                <w:kern w:val="0"/>
                <w:sz w:val="24"/>
                <w:szCs w:val="24"/>
              </w:rPr>
            </w:pPr>
            <w:r w:rsidRPr="00A71275">
              <w:rPr>
                <w:rFonts w:ascii="仿宋_GB2312" w:hAnsi="宋体" w:cs="宋体" w:hint="eastAsia"/>
                <w:b/>
                <w:kern w:val="0"/>
                <w:sz w:val="24"/>
                <w:szCs w:val="24"/>
              </w:rPr>
              <w:t>收费标准</w:t>
            </w:r>
          </w:p>
          <w:p w:rsidR="00A71275" w:rsidRPr="00A71275" w:rsidRDefault="00A71275" w:rsidP="00753C4C">
            <w:pPr>
              <w:widowControl/>
              <w:jc w:val="center"/>
              <w:rPr>
                <w:rFonts w:ascii="仿宋_GB2312" w:hAnsi="宋体" w:cs="宋体"/>
                <w:b/>
                <w:kern w:val="0"/>
                <w:sz w:val="24"/>
                <w:szCs w:val="24"/>
              </w:rPr>
            </w:pPr>
            <w:r w:rsidRPr="00A71275">
              <w:rPr>
                <w:rFonts w:ascii="仿宋_GB2312" w:hAnsi="宋体" w:cs="宋体" w:hint="eastAsia"/>
                <w:b/>
                <w:kern w:val="0"/>
                <w:sz w:val="24"/>
                <w:szCs w:val="24"/>
              </w:rPr>
              <w:t>（元/车</w:t>
            </w:r>
            <w:r w:rsidRPr="00A71275">
              <w:rPr>
                <w:rFonts w:ascii="仿宋_GB2312" w:hAnsi="Times New Roman" w:cs="Times New Roman" w:hint="eastAsia"/>
                <w:b/>
                <w:kern w:val="0"/>
                <w:sz w:val="24"/>
                <w:szCs w:val="24"/>
              </w:rPr>
              <w:t>·</w:t>
            </w:r>
            <w:r w:rsidRPr="00A71275">
              <w:rPr>
                <w:rFonts w:ascii="仿宋_GB2312" w:hAnsi="宋体" w:cs="宋体" w:hint="eastAsia"/>
                <w:b/>
                <w:kern w:val="0"/>
                <w:sz w:val="24"/>
                <w:szCs w:val="24"/>
              </w:rPr>
              <w:t>次）</w:t>
            </w:r>
          </w:p>
        </w:tc>
        <w:tc>
          <w:tcPr>
            <w:tcW w:w="8068" w:type="dxa"/>
            <w:tcBorders>
              <w:top w:val="single" w:sz="4" w:space="0" w:color="000000"/>
              <w:left w:val="nil"/>
              <w:bottom w:val="single" w:sz="4" w:space="0" w:color="auto"/>
              <w:right w:val="single" w:sz="4" w:space="0" w:color="000000"/>
            </w:tcBorders>
            <w:shd w:val="clear" w:color="auto" w:fill="auto"/>
            <w:noWrap/>
            <w:vAlign w:val="center"/>
          </w:tcPr>
          <w:p w:rsidR="00A71275" w:rsidRPr="00A71275" w:rsidRDefault="00A71275" w:rsidP="00452185">
            <w:pPr>
              <w:widowControl/>
              <w:jc w:val="center"/>
              <w:rPr>
                <w:rFonts w:ascii="仿宋_GB2312" w:hAnsi="宋体" w:cs="宋体"/>
                <w:b/>
                <w:kern w:val="0"/>
                <w:sz w:val="24"/>
                <w:szCs w:val="24"/>
              </w:rPr>
            </w:pPr>
            <w:r w:rsidRPr="00A71275">
              <w:rPr>
                <w:rFonts w:ascii="仿宋_GB2312" w:hAnsi="宋体" w:cs="宋体" w:hint="eastAsia"/>
                <w:b/>
                <w:kern w:val="0"/>
                <w:sz w:val="24"/>
                <w:szCs w:val="24"/>
              </w:rPr>
              <w:t>备</w:t>
            </w:r>
            <w:r w:rsidR="00D74F42">
              <w:rPr>
                <w:rFonts w:ascii="仿宋_GB2312" w:hAnsi="宋体" w:cs="宋体" w:hint="eastAsia"/>
                <w:b/>
                <w:kern w:val="0"/>
                <w:sz w:val="24"/>
                <w:szCs w:val="24"/>
              </w:rPr>
              <w:t xml:space="preserve">  </w:t>
            </w:r>
            <w:bookmarkStart w:id="0" w:name="_GoBack"/>
            <w:bookmarkEnd w:id="0"/>
            <w:r w:rsidRPr="00A71275">
              <w:rPr>
                <w:rFonts w:ascii="仿宋_GB2312" w:hAnsi="宋体" w:cs="宋体" w:hint="eastAsia"/>
                <w:b/>
                <w:kern w:val="0"/>
                <w:sz w:val="24"/>
                <w:szCs w:val="24"/>
              </w:rPr>
              <w:t xml:space="preserve"> 注</w:t>
            </w:r>
          </w:p>
        </w:tc>
      </w:tr>
      <w:tr w:rsidR="00A71275" w:rsidRPr="00A71275" w:rsidTr="00A71275">
        <w:trPr>
          <w:trHeight w:val="693"/>
          <w:jc w:val="center"/>
        </w:trPr>
        <w:tc>
          <w:tcPr>
            <w:tcW w:w="1135" w:type="dxa"/>
            <w:tcBorders>
              <w:top w:val="single" w:sz="4" w:space="0" w:color="000000"/>
              <w:left w:val="single" w:sz="4" w:space="0" w:color="000000"/>
              <w:right w:val="single" w:sz="4" w:space="0" w:color="auto"/>
            </w:tcBorders>
            <w:shd w:val="clear" w:color="auto" w:fill="auto"/>
            <w:vAlign w:val="center"/>
            <w:hideMark/>
          </w:tcPr>
          <w:p w:rsidR="00A71275" w:rsidRPr="00A71275" w:rsidRDefault="00A71275" w:rsidP="00A71275">
            <w:pPr>
              <w:widowControl/>
              <w:jc w:val="center"/>
              <w:rPr>
                <w:rFonts w:ascii="仿宋_GB2312" w:hAnsi="宋体" w:cs="宋体"/>
                <w:kern w:val="0"/>
                <w:sz w:val="24"/>
                <w:szCs w:val="24"/>
              </w:rPr>
            </w:pPr>
          </w:p>
        </w:tc>
        <w:tc>
          <w:tcPr>
            <w:tcW w:w="4220" w:type="dxa"/>
            <w:tcBorders>
              <w:top w:val="single" w:sz="4" w:space="0" w:color="000000"/>
              <w:left w:val="single" w:sz="4" w:space="0" w:color="auto"/>
              <w:right w:val="single" w:sz="4" w:space="0" w:color="000000"/>
            </w:tcBorders>
            <w:shd w:val="clear" w:color="auto" w:fill="auto"/>
            <w:vAlign w:val="center"/>
          </w:tcPr>
          <w:p w:rsidR="00A71275" w:rsidRPr="00A71275" w:rsidRDefault="00A71275" w:rsidP="00A71275">
            <w:pPr>
              <w:jc w:val="left"/>
              <w:rPr>
                <w:rFonts w:ascii="仿宋_GB2312" w:hAnsi="宋体" w:cs="宋体"/>
                <w:kern w:val="0"/>
                <w:sz w:val="24"/>
                <w:szCs w:val="24"/>
              </w:rPr>
            </w:pPr>
            <w:r w:rsidRPr="00A71275">
              <w:rPr>
                <w:rFonts w:ascii="仿宋_GB2312" w:hAnsi="宋体" w:cs="宋体" w:hint="eastAsia"/>
                <w:kern w:val="0"/>
                <w:sz w:val="24"/>
                <w:szCs w:val="24"/>
              </w:rPr>
              <w:t>二轮摩托车</w:t>
            </w:r>
          </w:p>
        </w:tc>
        <w:tc>
          <w:tcPr>
            <w:tcW w:w="1640" w:type="dxa"/>
            <w:tcBorders>
              <w:top w:val="nil"/>
              <w:left w:val="single" w:sz="4" w:space="0" w:color="auto"/>
              <w:bottom w:val="single" w:sz="4" w:space="0" w:color="auto"/>
              <w:right w:val="single" w:sz="4" w:space="0" w:color="000000"/>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100</w:t>
            </w:r>
          </w:p>
        </w:tc>
        <w:tc>
          <w:tcPr>
            <w:tcW w:w="8068" w:type="dxa"/>
            <w:vMerge w:val="restart"/>
            <w:tcBorders>
              <w:top w:val="single" w:sz="4" w:space="0" w:color="auto"/>
              <w:left w:val="single" w:sz="4" w:space="0" w:color="000000"/>
              <w:right w:val="single" w:sz="4" w:space="0" w:color="000000"/>
            </w:tcBorders>
            <w:shd w:val="clear" w:color="auto" w:fill="auto"/>
            <w:vAlign w:val="center"/>
            <w:hideMark/>
          </w:tcPr>
          <w:p w:rsidR="00A71275" w:rsidRPr="00A71275" w:rsidRDefault="00A71275" w:rsidP="00A71275">
            <w:pPr>
              <w:widowControl/>
              <w:ind w:firstLineChars="150" w:firstLine="360"/>
              <w:rPr>
                <w:rFonts w:ascii="仿宋_GB2312" w:hAnsi="宋体" w:cs="宋体"/>
                <w:kern w:val="0"/>
                <w:sz w:val="24"/>
                <w:szCs w:val="24"/>
              </w:rPr>
            </w:pPr>
            <w:r w:rsidRPr="00A71275">
              <w:rPr>
                <w:rFonts w:ascii="仿宋_GB2312" w:hAnsi="宋体" w:cs="宋体" w:hint="eastAsia"/>
                <w:kern w:val="0"/>
                <w:sz w:val="24"/>
                <w:szCs w:val="24"/>
              </w:rPr>
              <w:t>1、吊车服务包括在事故或故障现场将被吊车辆吊运至拖车以及将被吊车辆从拖车吊运至卸载场地两环节，仅完成一个环节的，按规定标准的70%收费。</w:t>
            </w:r>
          </w:p>
          <w:p w:rsidR="00A71275" w:rsidRPr="00A71275" w:rsidRDefault="00A71275" w:rsidP="00A71275">
            <w:pPr>
              <w:widowControl/>
              <w:ind w:firstLineChars="150" w:firstLine="360"/>
              <w:rPr>
                <w:rFonts w:ascii="仿宋_GB2312" w:hAnsi="宋体" w:cs="宋体"/>
                <w:kern w:val="0"/>
                <w:sz w:val="24"/>
                <w:szCs w:val="24"/>
              </w:rPr>
            </w:pPr>
            <w:r w:rsidRPr="00A71275">
              <w:rPr>
                <w:rFonts w:ascii="仿宋_GB2312" w:hAnsi="宋体" w:cs="宋体" w:hint="eastAsia"/>
                <w:kern w:val="0"/>
                <w:sz w:val="24"/>
                <w:szCs w:val="24"/>
              </w:rPr>
              <w:t>2、拖吊一体的救援车辆，未使用拖车的不得收取拖车费，未使用吊车的不得收取吊车费，拖、</w:t>
            </w:r>
            <w:proofErr w:type="gramStart"/>
            <w:r w:rsidRPr="00A71275">
              <w:rPr>
                <w:rFonts w:ascii="仿宋_GB2312" w:hAnsi="宋体" w:cs="宋体" w:hint="eastAsia"/>
                <w:kern w:val="0"/>
                <w:sz w:val="24"/>
                <w:szCs w:val="24"/>
              </w:rPr>
              <w:t>吊同时</w:t>
            </w:r>
            <w:proofErr w:type="gramEnd"/>
            <w:r w:rsidRPr="00A71275">
              <w:rPr>
                <w:rFonts w:ascii="仿宋_GB2312" w:hAnsi="宋体" w:cs="宋体" w:hint="eastAsia"/>
                <w:kern w:val="0"/>
                <w:sz w:val="24"/>
                <w:szCs w:val="24"/>
              </w:rPr>
              <w:t>使用的，拖车按规定标准收费，吊车按规定标准的70%收费。</w:t>
            </w:r>
          </w:p>
          <w:p w:rsidR="00A71275" w:rsidRPr="00A71275" w:rsidRDefault="00A71275" w:rsidP="00A71275">
            <w:pPr>
              <w:widowControl/>
              <w:ind w:firstLineChars="150" w:firstLine="360"/>
              <w:rPr>
                <w:rFonts w:ascii="仿宋_GB2312" w:hAnsi="宋体" w:cs="宋体"/>
                <w:kern w:val="0"/>
                <w:sz w:val="24"/>
                <w:szCs w:val="24"/>
              </w:rPr>
            </w:pPr>
            <w:r w:rsidRPr="00A71275">
              <w:rPr>
                <w:rFonts w:ascii="仿宋_GB2312" w:hAnsi="宋体" w:cs="宋体" w:hint="eastAsia"/>
                <w:kern w:val="0"/>
                <w:sz w:val="24"/>
                <w:szCs w:val="24"/>
              </w:rPr>
              <w:t>3、在一次车辆救援服务过程中，出动一台吊车吊运两辆以上事故或故障车辆，对每台被</w:t>
            </w:r>
            <w:proofErr w:type="gramStart"/>
            <w:r w:rsidRPr="00A71275">
              <w:rPr>
                <w:rFonts w:ascii="仿宋_GB2312" w:hAnsi="宋体" w:cs="宋体" w:hint="eastAsia"/>
                <w:kern w:val="0"/>
                <w:sz w:val="24"/>
                <w:szCs w:val="24"/>
              </w:rPr>
              <w:t>吊车辆均只能</w:t>
            </w:r>
            <w:proofErr w:type="gramEnd"/>
            <w:r w:rsidRPr="00A71275">
              <w:rPr>
                <w:rFonts w:ascii="仿宋_GB2312" w:hAnsi="宋体" w:cs="宋体" w:hint="eastAsia"/>
                <w:kern w:val="0"/>
                <w:sz w:val="24"/>
                <w:szCs w:val="24"/>
              </w:rPr>
              <w:t>按规定标准的80%收费。被吊车</w:t>
            </w:r>
            <w:proofErr w:type="gramStart"/>
            <w:r w:rsidRPr="00A71275">
              <w:rPr>
                <w:rFonts w:ascii="仿宋_GB2312" w:hAnsi="宋体" w:cs="宋体" w:hint="eastAsia"/>
                <w:kern w:val="0"/>
                <w:sz w:val="24"/>
                <w:szCs w:val="24"/>
              </w:rPr>
              <w:t>辆超过</w:t>
            </w:r>
            <w:proofErr w:type="gramEnd"/>
            <w:r w:rsidRPr="00A71275">
              <w:rPr>
                <w:rFonts w:ascii="仿宋_GB2312" w:hAnsi="宋体" w:cs="宋体" w:hint="eastAsia"/>
                <w:kern w:val="0"/>
                <w:sz w:val="24"/>
                <w:szCs w:val="24"/>
              </w:rPr>
              <w:t>1台吊车施救能力，经公安交警确认必须使用两台吊车配合施救的，吊车总费用不得超过被吊车</w:t>
            </w:r>
            <w:proofErr w:type="gramStart"/>
            <w:r w:rsidRPr="00A71275">
              <w:rPr>
                <w:rFonts w:ascii="仿宋_GB2312" w:hAnsi="宋体" w:cs="宋体" w:hint="eastAsia"/>
                <w:kern w:val="0"/>
                <w:sz w:val="24"/>
                <w:szCs w:val="24"/>
              </w:rPr>
              <w:t>辆规定</w:t>
            </w:r>
            <w:proofErr w:type="gramEnd"/>
            <w:r w:rsidRPr="00A71275">
              <w:rPr>
                <w:rFonts w:ascii="仿宋_GB2312" w:hAnsi="宋体" w:cs="宋体" w:hint="eastAsia"/>
                <w:kern w:val="0"/>
                <w:sz w:val="24"/>
                <w:szCs w:val="24"/>
              </w:rPr>
              <w:t>标准的150%。</w:t>
            </w:r>
          </w:p>
          <w:p w:rsidR="00A71275" w:rsidRPr="00A71275" w:rsidRDefault="00A71275" w:rsidP="00A71275">
            <w:pPr>
              <w:widowControl/>
              <w:ind w:firstLineChars="150" w:firstLine="360"/>
              <w:rPr>
                <w:rFonts w:ascii="仿宋_GB2312" w:hAnsi="宋体" w:cs="宋体"/>
                <w:kern w:val="0"/>
                <w:sz w:val="24"/>
                <w:szCs w:val="24"/>
              </w:rPr>
            </w:pPr>
            <w:r w:rsidRPr="00A71275">
              <w:rPr>
                <w:rFonts w:ascii="仿宋_GB2312" w:hAnsi="宋体" w:cs="宋体" w:hint="eastAsia"/>
                <w:kern w:val="0"/>
                <w:sz w:val="24"/>
                <w:szCs w:val="24"/>
              </w:rPr>
              <w:t>4、由于车主故意隐瞒实际装载吨位，造成二次出动吊车的，按被吊车</w:t>
            </w:r>
            <w:proofErr w:type="gramStart"/>
            <w:r w:rsidRPr="00A71275">
              <w:rPr>
                <w:rFonts w:ascii="仿宋_GB2312" w:hAnsi="宋体" w:cs="宋体" w:hint="eastAsia"/>
                <w:kern w:val="0"/>
                <w:sz w:val="24"/>
                <w:szCs w:val="24"/>
              </w:rPr>
              <w:t>辆规定</w:t>
            </w:r>
            <w:proofErr w:type="gramEnd"/>
            <w:r w:rsidRPr="00A71275">
              <w:rPr>
                <w:rFonts w:ascii="仿宋_GB2312" w:hAnsi="宋体" w:cs="宋体" w:hint="eastAsia"/>
                <w:kern w:val="0"/>
                <w:sz w:val="24"/>
                <w:szCs w:val="24"/>
              </w:rPr>
              <w:t>标准的30%收取空驶费。</w:t>
            </w:r>
          </w:p>
          <w:p w:rsidR="00A71275" w:rsidRPr="00A71275" w:rsidRDefault="00A71275" w:rsidP="00A71275">
            <w:pPr>
              <w:widowControl/>
              <w:ind w:firstLineChars="150" w:firstLine="360"/>
              <w:rPr>
                <w:rFonts w:ascii="仿宋_GB2312" w:hAnsi="宋体" w:cs="宋体"/>
                <w:kern w:val="0"/>
                <w:sz w:val="24"/>
                <w:szCs w:val="24"/>
              </w:rPr>
            </w:pPr>
            <w:r w:rsidRPr="00A71275">
              <w:rPr>
                <w:rFonts w:ascii="仿宋_GB2312" w:hAnsi="宋体" w:cs="宋体" w:hint="eastAsia"/>
                <w:kern w:val="0"/>
                <w:sz w:val="24"/>
                <w:szCs w:val="24"/>
              </w:rPr>
              <w:t>5、被吊货车凭行驶证核定的额定载质量（千克）进行分类；客车凭行驶证核定的座位数进行分类，其中卧铺客车每1铺位折合1.5个座位。</w:t>
            </w:r>
          </w:p>
          <w:p w:rsidR="00A71275" w:rsidRPr="00A71275" w:rsidRDefault="00A71275" w:rsidP="00A71275">
            <w:pPr>
              <w:widowControl/>
              <w:ind w:firstLineChars="150" w:firstLine="360"/>
              <w:rPr>
                <w:rFonts w:ascii="仿宋_GB2312" w:hAnsi="宋体" w:cs="宋体"/>
                <w:kern w:val="0"/>
                <w:sz w:val="24"/>
                <w:szCs w:val="24"/>
              </w:rPr>
            </w:pPr>
            <w:r w:rsidRPr="00A71275">
              <w:rPr>
                <w:rFonts w:ascii="仿宋_GB2312" w:hAnsi="宋体" w:cs="宋体" w:hint="eastAsia"/>
                <w:kern w:val="0"/>
                <w:sz w:val="24"/>
                <w:szCs w:val="24"/>
              </w:rPr>
              <w:t>6、对拖挂一体车辆，按照高于主车一个车型分类标准计费。未标明载重吨位的特种车辆按实际运载吨数对应车型的收费标准计费。</w:t>
            </w:r>
          </w:p>
          <w:p w:rsidR="00A71275" w:rsidRPr="00A71275" w:rsidRDefault="00A71275" w:rsidP="00A71275">
            <w:pPr>
              <w:widowControl/>
              <w:ind w:firstLineChars="150" w:firstLine="360"/>
              <w:rPr>
                <w:rFonts w:ascii="仿宋_GB2312" w:hAnsi="宋体" w:cs="宋体"/>
                <w:kern w:val="0"/>
                <w:sz w:val="24"/>
                <w:szCs w:val="24"/>
              </w:rPr>
            </w:pPr>
            <w:r w:rsidRPr="00A71275">
              <w:rPr>
                <w:rFonts w:ascii="仿宋_GB2312" w:hAnsi="宋体" w:cs="宋体" w:hint="eastAsia"/>
                <w:kern w:val="0"/>
                <w:sz w:val="24"/>
                <w:szCs w:val="24"/>
              </w:rPr>
              <w:t>7、吊车的车辆通行费由救援方负担。</w:t>
            </w:r>
          </w:p>
        </w:tc>
      </w:tr>
      <w:tr w:rsidR="00A71275" w:rsidRPr="00A71275" w:rsidTr="00A71275">
        <w:trPr>
          <w:trHeight w:val="71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A71275" w:rsidRPr="00A71275" w:rsidRDefault="00A71275" w:rsidP="00A71275">
            <w:pPr>
              <w:widowControl/>
              <w:jc w:val="left"/>
              <w:rPr>
                <w:rFonts w:ascii="仿宋_GB2312" w:hAnsi="宋体" w:cs="宋体"/>
                <w:kern w:val="0"/>
                <w:sz w:val="24"/>
                <w:szCs w:val="24"/>
              </w:rPr>
            </w:pPr>
            <w:r w:rsidRPr="00A71275">
              <w:rPr>
                <w:rFonts w:ascii="仿宋_GB2312" w:hAnsi="宋体" w:cs="宋体" w:hint="eastAsia"/>
                <w:kern w:val="0"/>
                <w:sz w:val="24"/>
                <w:szCs w:val="24"/>
              </w:rPr>
              <w:t>三轮摩托车（含残疾人车）</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150</w:t>
            </w:r>
          </w:p>
        </w:tc>
        <w:tc>
          <w:tcPr>
            <w:tcW w:w="8068" w:type="dxa"/>
            <w:vMerge/>
            <w:tcBorders>
              <w:top w:val="single" w:sz="4" w:space="0" w:color="auto"/>
              <w:left w:val="single" w:sz="4" w:space="0" w:color="auto"/>
              <w:bottom w:val="single" w:sz="4" w:space="0" w:color="auto"/>
              <w:right w:val="single" w:sz="4" w:space="0" w:color="auto"/>
            </w:tcBorders>
            <w:vAlign w:val="center"/>
            <w:hideMark/>
          </w:tcPr>
          <w:p w:rsidR="00A71275" w:rsidRPr="00A71275" w:rsidRDefault="00A71275" w:rsidP="00452185">
            <w:pPr>
              <w:widowControl/>
              <w:jc w:val="left"/>
              <w:rPr>
                <w:rFonts w:ascii="仿宋_GB2312" w:hAnsi="宋体" w:cs="宋体"/>
                <w:kern w:val="0"/>
                <w:sz w:val="24"/>
                <w:szCs w:val="24"/>
              </w:rPr>
            </w:pPr>
          </w:p>
        </w:tc>
      </w:tr>
      <w:tr w:rsidR="00A71275" w:rsidRPr="00A71275" w:rsidTr="00A71275">
        <w:trPr>
          <w:trHeight w:val="970"/>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一类车</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A71275">
            <w:pPr>
              <w:widowControl/>
              <w:jc w:val="left"/>
              <w:rPr>
                <w:rFonts w:ascii="仿宋_GB2312" w:hAnsi="宋体" w:cs="宋体"/>
                <w:kern w:val="0"/>
                <w:sz w:val="24"/>
                <w:szCs w:val="24"/>
              </w:rPr>
            </w:pPr>
            <w:r w:rsidRPr="00A71275">
              <w:rPr>
                <w:rFonts w:ascii="仿宋_GB2312" w:hAnsi="宋体" w:cs="宋体" w:hint="eastAsia"/>
                <w:kern w:val="0"/>
                <w:sz w:val="24"/>
                <w:szCs w:val="24"/>
              </w:rPr>
              <w:t>7座以下（含7座）客车、2吨</w:t>
            </w:r>
          </w:p>
          <w:p w:rsidR="00A71275" w:rsidRPr="00A71275" w:rsidRDefault="00A71275" w:rsidP="00A71275">
            <w:pPr>
              <w:widowControl/>
              <w:jc w:val="left"/>
              <w:rPr>
                <w:rFonts w:ascii="仿宋_GB2312" w:hAnsi="宋体" w:cs="宋体"/>
                <w:kern w:val="0"/>
                <w:sz w:val="24"/>
                <w:szCs w:val="24"/>
              </w:rPr>
            </w:pPr>
            <w:r w:rsidRPr="00A71275">
              <w:rPr>
                <w:rFonts w:ascii="仿宋_GB2312" w:hAnsi="宋体" w:cs="宋体" w:hint="eastAsia"/>
                <w:kern w:val="0"/>
                <w:sz w:val="24"/>
                <w:szCs w:val="24"/>
              </w:rPr>
              <w:t>（含2吨）以下货车</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800</w:t>
            </w:r>
          </w:p>
        </w:tc>
        <w:tc>
          <w:tcPr>
            <w:tcW w:w="8068" w:type="dxa"/>
            <w:vMerge/>
            <w:tcBorders>
              <w:top w:val="single" w:sz="4" w:space="0" w:color="auto"/>
              <w:left w:val="single" w:sz="4" w:space="0" w:color="auto"/>
              <w:bottom w:val="single" w:sz="4" w:space="0" w:color="auto"/>
              <w:right w:val="single" w:sz="4" w:space="0" w:color="auto"/>
            </w:tcBorders>
            <w:vAlign w:val="center"/>
            <w:hideMark/>
          </w:tcPr>
          <w:p w:rsidR="00A71275" w:rsidRPr="00A71275" w:rsidRDefault="00A71275" w:rsidP="00452185">
            <w:pPr>
              <w:widowControl/>
              <w:jc w:val="left"/>
              <w:rPr>
                <w:rFonts w:ascii="仿宋_GB2312" w:hAnsi="宋体" w:cs="宋体"/>
                <w:kern w:val="0"/>
                <w:sz w:val="24"/>
                <w:szCs w:val="24"/>
              </w:rPr>
            </w:pPr>
          </w:p>
        </w:tc>
      </w:tr>
      <w:tr w:rsidR="00A71275" w:rsidRPr="00A71275" w:rsidTr="00A71275">
        <w:trPr>
          <w:trHeight w:val="984"/>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二类车</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A71275">
            <w:pPr>
              <w:widowControl/>
              <w:jc w:val="left"/>
              <w:rPr>
                <w:rFonts w:ascii="仿宋_GB2312" w:hAnsi="宋体" w:cs="宋体"/>
                <w:kern w:val="0"/>
                <w:sz w:val="24"/>
                <w:szCs w:val="24"/>
              </w:rPr>
            </w:pPr>
            <w:r w:rsidRPr="00A71275">
              <w:rPr>
                <w:rFonts w:ascii="仿宋_GB2312" w:hAnsi="宋体" w:cs="宋体" w:hint="eastAsia"/>
                <w:kern w:val="0"/>
                <w:sz w:val="24"/>
                <w:szCs w:val="24"/>
              </w:rPr>
              <w:t>8座以上至19座（含19座）以下客车、2吨以上至5吨（含5吨）货车</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1300</w:t>
            </w:r>
          </w:p>
        </w:tc>
        <w:tc>
          <w:tcPr>
            <w:tcW w:w="8068" w:type="dxa"/>
            <w:vMerge/>
            <w:tcBorders>
              <w:top w:val="single" w:sz="4" w:space="0" w:color="auto"/>
              <w:left w:val="single" w:sz="4" w:space="0" w:color="auto"/>
              <w:bottom w:val="single" w:sz="4" w:space="0" w:color="auto"/>
              <w:right w:val="single" w:sz="4" w:space="0" w:color="auto"/>
            </w:tcBorders>
            <w:vAlign w:val="center"/>
            <w:hideMark/>
          </w:tcPr>
          <w:p w:rsidR="00A71275" w:rsidRPr="00A71275" w:rsidRDefault="00A71275" w:rsidP="00452185">
            <w:pPr>
              <w:widowControl/>
              <w:jc w:val="left"/>
              <w:rPr>
                <w:rFonts w:ascii="仿宋_GB2312" w:hAnsi="宋体" w:cs="宋体"/>
                <w:kern w:val="0"/>
                <w:sz w:val="24"/>
                <w:szCs w:val="24"/>
              </w:rPr>
            </w:pPr>
          </w:p>
        </w:tc>
      </w:tr>
      <w:tr w:rsidR="00A71275" w:rsidRPr="00A71275" w:rsidTr="00A71275">
        <w:trPr>
          <w:trHeight w:val="969"/>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三类车</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A71275">
            <w:pPr>
              <w:widowControl/>
              <w:jc w:val="left"/>
              <w:rPr>
                <w:rFonts w:ascii="仿宋_GB2312" w:hAnsi="宋体" w:cs="宋体"/>
                <w:kern w:val="0"/>
                <w:sz w:val="24"/>
                <w:szCs w:val="24"/>
              </w:rPr>
            </w:pPr>
            <w:r w:rsidRPr="00A71275">
              <w:rPr>
                <w:rFonts w:ascii="仿宋_GB2312" w:hAnsi="宋体" w:cs="宋体" w:hint="eastAsia"/>
                <w:kern w:val="0"/>
                <w:sz w:val="24"/>
                <w:szCs w:val="24"/>
              </w:rPr>
              <w:t>20座以上至39座（含39座）以下客车、5吨以上至10吨（含10吨）货车</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1700</w:t>
            </w:r>
          </w:p>
        </w:tc>
        <w:tc>
          <w:tcPr>
            <w:tcW w:w="8068" w:type="dxa"/>
            <w:vMerge/>
            <w:tcBorders>
              <w:top w:val="single" w:sz="4" w:space="0" w:color="auto"/>
              <w:left w:val="single" w:sz="4" w:space="0" w:color="auto"/>
              <w:bottom w:val="single" w:sz="4" w:space="0" w:color="auto"/>
              <w:right w:val="single" w:sz="4" w:space="0" w:color="auto"/>
            </w:tcBorders>
            <w:vAlign w:val="center"/>
            <w:hideMark/>
          </w:tcPr>
          <w:p w:rsidR="00A71275" w:rsidRPr="00A71275" w:rsidRDefault="00A71275" w:rsidP="00452185">
            <w:pPr>
              <w:widowControl/>
              <w:jc w:val="left"/>
              <w:rPr>
                <w:rFonts w:ascii="仿宋_GB2312" w:hAnsi="宋体" w:cs="宋体"/>
                <w:kern w:val="0"/>
                <w:sz w:val="24"/>
                <w:szCs w:val="24"/>
              </w:rPr>
            </w:pPr>
          </w:p>
        </w:tc>
      </w:tr>
      <w:tr w:rsidR="00A71275" w:rsidRPr="00A71275" w:rsidTr="00A71275">
        <w:trPr>
          <w:trHeight w:val="997"/>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四类车</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A71275">
            <w:pPr>
              <w:widowControl/>
              <w:jc w:val="left"/>
              <w:rPr>
                <w:rFonts w:ascii="仿宋_GB2312" w:hAnsi="宋体" w:cs="宋体"/>
                <w:kern w:val="0"/>
                <w:sz w:val="24"/>
                <w:szCs w:val="24"/>
              </w:rPr>
            </w:pPr>
            <w:r w:rsidRPr="00A71275">
              <w:rPr>
                <w:rFonts w:ascii="仿宋_GB2312" w:hAnsi="宋体" w:cs="宋体" w:hint="eastAsia"/>
                <w:kern w:val="0"/>
                <w:sz w:val="24"/>
                <w:szCs w:val="24"/>
              </w:rPr>
              <w:t>40座（含40座）以上客车、10吨以上至15吨（含15吨）货车、20英尺集装箱车</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2300</w:t>
            </w:r>
          </w:p>
        </w:tc>
        <w:tc>
          <w:tcPr>
            <w:tcW w:w="8068" w:type="dxa"/>
            <w:vMerge/>
            <w:tcBorders>
              <w:top w:val="single" w:sz="4" w:space="0" w:color="auto"/>
              <w:left w:val="single" w:sz="4" w:space="0" w:color="auto"/>
              <w:bottom w:val="single" w:sz="4" w:space="0" w:color="auto"/>
              <w:right w:val="single" w:sz="4" w:space="0" w:color="auto"/>
            </w:tcBorders>
            <w:vAlign w:val="center"/>
            <w:hideMark/>
          </w:tcPr>
          <w:p w:rsidR="00A71275" w:rsidRPr="00A71275" w:rsidRDefault="00A71275" w:rsidP="00452185">
            <w:pPr>
              <w:widowControl/>
              <w:jc w:val="left"/>
              <w:rPr>
                <w:rFonts w:ascii="仿宋_GB2312" w:hAnsi="宋体" w:cs="宋体"/>
                <w:kern w:val="0"/>
                <w:sz w:val="24"/>
                <w:szCs w:val="24"/>
              </w:rPr>
            </w:pPr>
          </w:p>
        </w:tc>
      </w:tr>
      <w:tr w:rsidR="00A71275" w:rsidRPr="00A71275" w:rsidTr="00A71275">
        <w:trPr>
          <w:trHeight w:val="984"/>
          <w:jc w:val="cent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五类车</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A71275">
            <w:pPr>
              <w:widowControl/>
              <w:jc w:val="left"/>
              <w:rPr>
                <w:rFonts w:ascii="仿宋_GB2312" w:hAnsi="宋体" w:cs="宋体"/>
                <w:kern w:val="0"/>
                <w:sz w:val="24"/>
                <w:szCs w:val="24"/>
              </w:rPr>
            </w:pPr>
            <w:r w:rsidRPr="00A71275">
              <w:rPr>
                <w:rFonts w:ascii="仿宋_GB2312" w:hAnsi="宋体" w:cs="宋体" w:hint="eastAsia"/>
                <w:kern w:val="0"/>
                <w:sz w:val="24"/>
                <w:szCs w:val="24"/>
              </w:rPr>
              <w:t>15吨以上至35吨（含35吨）</w:t>
            </w:r>
          </w:p>
          <w:p w:rsidR="00A71275" w:rsidRPr="00A71275" w:rsidRDefault="00A71275" w:rsidP="00A71275">
            <w:pPr>
              <w:widowControl/>
              <w:jc w:val="left"/>
              <w:rPr>
                <w:rFonts w:ascii="仿宋_GB2312" w:hAnsi="宋体" w:cs="宋体"/>
                <w:kern w:val="0"/>
                <w:sz w:val="24"/>
                <w:szCs w:val="24"/>
              </w:rPr>
            </w:pPr>
            <w:r w:rsidRPr="00A71275">
              <w:rPr>
                <w:rFonts w:ascii="仿宋_GB2312" w:hAnsi="宋体" w:cs="宋体" w:hint="eastAsia"/>
                <w:kern w:val="0"/>
                <w:sz w:val="24"/>
                <w:szCs w:val="24"/>
              </w:rPr>
              <w:t>货车、40英尺集装箱车</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2800</w:t>
            </w:r>
          </w:p>
        </w:tc>
        <w:tc>
          <w:tcPr>
            <w:tcW w:w="8068" w:type="dxa"/>
            <w:vMerge/>
            <w:tcBorders>
              <w:top w:val="single" w:sz="4" w:space="0" w:color="auto"/>
              <w:left w:val="single" w:sz="4" w:space="0" w:color="auto"/>
              <w:bottom w:val="single" w:sz="4" w:space="0" w:color="auto"/>
              <w:right w:val="single" w:sz="4" w:space="0" w:color="auto"/>
            </w:tcBorders>
            <w:vAlign w:val="center"/>
            <w:hideMark/>
          </w:tcPr>
          <w:p w:rsidR="00A71275" w:rsidRPr="00A71275" w:rsidRDefault="00A71275" w:rsidP="00452185">
            <w:pPr>
              <w:widowControl/>
              <w:jc w:val="left"/>
              <w:rPr>
                <w:rFonts w:ascii="仿宋_GB2312" w:hAnsi="宋体" w:cs="宋体"/>
                <w:kern w:val="0"/>
                <w:sz w:val="24"/>
                <w:szCs w:val="24"/>
              </w:rPr>
            </w:pPr>
          </w:p>
        </w:tc>
      </w:tr>
      <w:tr w:rsidR="00A71275" w:rsidRPr="00A71275" w:rsidTr="00A71275">
        <w:trPr>
          <w:trHeight w:val="70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71275" w:rsidRPr="00A71275" w:rsidRDefault="00A71275" w:rsidP="00452185">
            <w:pPr>
              <w:widowControl/>
              <w:jc w:val="center"/>
              <w:rPr>
                <w:rFonts w:ascii="仿宋_GB2312" w:hAnsi="宋体" w:cs="宋体"/>
                <w:kern w:val="0"/>
                <w:sz w:val="24"/>
                <w:szCs w:val="24"/>
              </w:rPr>
            </w:pP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A71275">
            <w:pPr>
              <w:widowControl/>
              <w:jc w:val="left"/>
              <w:rPr>
                <w:rFonts w:ascii="仿宋_GB2312" w:hAnsi="宋体" w:cs="宋体"/>
                <w:kern w:val="0"/>
                <w:sz w:val="24"/>
                <w:szCs w:val="24"/>
              </w:rPr>
            </w:pPr>
            <w:r w:rsidRPr="00A71275">
              <w:rPr>
                <w:rFonts w:ascii="仿宋_GB2312" w:hAnsi="宋体" w:cs="宋体" w:hint="eastAsia"/>
                <w:kern w:val="0"/>
                <w:sz w:val="24"/>
                <w:szCs w:val="24"/>
              </w:rPr>
              <w:t>35吨以上货车</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75" w:rsidRPr="00A71275" w:rsidRDefault="00A71275" w:rsidP="00452185">
            <w:pPr>
              <w:widowControl/>
              <w:jc w:val="center"/>
              <w:rPr>
                <w:rFonts w:ascii="仿宋_GB2312" w:hAnsi="宋体" w:cs="宋体"/>
                <w:kern w:val="0"/>
                <w:sz w:val="24"/>
                <w:szCs w:val="24"/>
              </w:rPr>
            </w:pPr>
            <w:r w:rsidRPr="00A71275">
              <w:rPr>
                <w:rFonts w:ascii="仿宋_GB2312" w:hAnsi="宋体" w:cs="宋体" w:hint="eastAsia"/>
                <w:kern w:val="0"/>
                <w:sz w:val="24"/>
                <w:szCs w:val="24"/>
              </w:rPr>
              <w:t>3800</w:t>
            </w:r>
          </w:p>
        </w:tc>
        <w:tc>
          <w:tcPr>
            <w:tcW w:w="8068" w:type="dxa"/>
            <w:vMerge/>
            <w:tcBorders>
              <w:top w:val="single" w:sz="4" w:space="0" w:color="auto"/>
              <w:left w:val="single" w:sz="4" w:space="0" w:color="auto"/>
              <w:bottom w:val="single" w:sz="4" w:space="0" w:color="auto"/>
              <w:right w:val="single" w:sz="4" w:space="0" w:color="auto"/>
            </w:tcBorders>
            <w:vAlign w:val="center"/>
            <w:hideMark/>
          </w:tcPr>
          <w:p w:rsidR="00A71275" w:rsidRPr="00A71275" w:rsidRDefault="00A71275" w:rsidP="00452185">
            <w:pPr>
              <w:widowControl/>
              <w:jc w:val="left"/>
              <w:rPr>
                <w:rFonts w:ascii="仿宋_GB2312" w:hAnsi="宋体" w:cs="宋体"/>
                <w:kern w:val="0"/>
                <w:sz w:val="24"/>
                <w:szCs w:val="24"/>
              </w:rPr>
            </w:pPr>
          </w:p>
        </w:tc>
      </w:tr>
    </w:tbl>
    <w:p w:rsidR="003A7061" w:rsidRDefault="003A7061"/>
    <w:sectPr w:rsidR="003A7061" w:rsidSect="003A7061">
      <w:pgSz w:w="16838" w:h="11906" w:orient="landscape" w:code="9"/>
      <w:pgMar w:top="851" w:right="794" w:bottom="851" w:left="794" w:header="851" w:footer="794"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61"/>
    <w:rsid w:val="000C7971"/>
    <w:rsid w:val="003A7061"/>
    <w:rsid w:val="009C4611"/>
    <w:rsid w:val="00A71275"/>
    <w:rsid w:val="00D74F42"/>
    <w:rsid w:val="00DF19E8"/>
    <w:rsid w:val="00E25924"/>
    <w:rsid w:val="00EC2C7C"/>
    <w:rsid w:val="00F54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61"/>
    <w:pPr>
      <w:widowControl w:val="0"/>
      <w:jc w:val="both"/>
    </w:pPr>
    <w:rPr>
      <w:rFonts w:asci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61"/>
    <w:pPr>
      <w:widowControl w:val="0"/>
      <w:jc w:val="both"/>
    </w:pPr>
    <w:rPr>
      <w:rFonts w:asci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659</Characters>
  <Application>Microsoft Office Word</Application>
  <DocSecurity>0</DocSecurity>
  <Lines>5</Lines>
  <Paragraphs>1</Paragraphs>
  <ScaleCrop>false</ScaleCrop>
  <Company>微软中国</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2014-05-19T02:00:00Z</dcterms:created>
  <dcterms:modified xsi:type="dcterms:W3CDTF">2014-05-20T02:55:00Z</dcterms:modified>
</cp:coreProperties>
</file>