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AD0" w:rsidRPr="001E0AD0" w:rsidRDefault="001E0AD0" w:rsidP="001E0AD0">
      <w:pPr>
        <w:widowControl/>
        <w:wordWrap w:val="0"/>
        <w:spacing w:line="375" w:lineRule="atLeast"/>
        <w:jc w:val="left"/>
        <w:rPr>
          <w:rFonts w:ascii="华文仿宋" w:eastAsia="华文仿宋" w:hAnsi="华文仿宋" w:cs="Tahoma"/>
          <w:color w:val="000000"/>
          <w:kern w:val="0"/>
          <w:sz w:val="30"/>
          <w:szCs w:val="30"/>
        </w:rPr>
      </w:pPr>
    </w:p>
    <w:p w:rsidR="00267980" w:rsidRDefault="00F3004E" w:rsidP="00A9545D">
      <w:pPr>
        <w:widowControl/>
        <w:wordWrap w:val="0"/>
        <w:spacing w:line="375" w:lineRule="atLeast"/>
        <w:ind w:firstLine="600"/>
        <w:jc w:val="left"/>
        <w:rPr>
          <w:rFonts w:ascii="华文仿宋" w:eastAsia="华文仿宋" w:hAnsi="华文仿宋" w:cs="Tahoma" w:hint="eastAsia"/>
          <w:color w:val="000000"/>
          <w:kern w:val="0"/>
          <w:sz w:val="32"/>
          <w:szCs w:val="32"/>
        </w:rPr>
      </w:pPr>
      <w:r>
        <w:rPr>
          <w:rFonts w:ascii="华文仿宋" w:eastAsia="华文仿宋" w:hAnsi="华文仿宋" w:cs="Tahoma" w:hint="eastAsia"/>
          <w:color w:val="000000"/>
          <w:kern w:val="0"/>
          <w:sz w:val="32"/>
          <w:szCs w:val="32"/>
        </w:rPr>
        <w:t xml:space="preserve">                   </w:t>
      </w:r>
    </w:p>
    <w:p w:rsidR="00A9545D" w:rsidRPr="00A9545D" w:rsidRDefault="00A9545D" w:rsidP="00A9545D">
      <w:pPr>
        <w:widowControl/>
        <w:spacing w:after="90" w:line="360" w:lineRule="atLeast"/>
        <w:ind w:left="420"/>
        <w:jc w:val="center"/>
        <w:rPr>
          <w:rFonts w:ascii="宋体" w:eastAsia="宋体" w:hAnsi="宋体" w:cs="宋体"/>
          <w:color w:val="000000"/>
          <w:kern w:val="0"/>
          <w:szCs w:val="21"/>
        </w:rPr>
      </w:pPr>
      <w:r w:rsidRPr="00A9545D">
        <w:rPr>
          <w:rFonts w:ascii="黑体" w:eastAsia="黑体" w:hAnsi="黑体" w:cs="宋体" w:hint="eastAsia"/>
          <w:color w:val="000000"/>
          <w:kern w:val="0"/>
          <w:sz w:val="24"/>
          <w:szCs w:val="24"/>
        </w:rPr>
        <w:t>2015年梅州市人力资源和社会保障局</w:t>
      </w:r>
    </w:p>
    <w:p w:rsidR="00A9545D" w:rsidRPr="00A9545D" w:rsidRDefault="00A9545D" w:rsidP="00A9545D">
      <w:pPr>
        <w:widowControl/>
        <w:spacing w:after="90" w:line="360" w:lineRule="atLeast"/>
        <w:ind w:left="420"/>
        <w:jc w:val="center"/>
        <w:rPr>
          <w:rFonts w:ascii="宋体" w:eastAsia="宋体" w:hAnsi="宋体" w:cs="宋体" w:hint="eastAsia"/>
          <w:color w:val="000000"/>
          <w:kern w:val="0"/>
          <w:szCs w:val="21"/>
        </w:rPr>
      </w:pPr>
      <w:r w:rsidRPr="00A9545D">
        <w:rPr>
          <w:rFonts w:ascii="黑体" w:eastAsia="黑体" w:hAnsi="黑体" w:cs="宋体" w:hint="eastAsia"/>
          <w:color w:val="000000"/>
          <w:kern w:val="0"/>
          <w:sz w:val="24"/>
          <w:szCs w:val="24"/>
        </w:rPr>
        <w:t>预算基本情况说明</w:t>
      </w:r>
    </w:p>
    <w:p w:rsidR="00A9545D" w:rsidRPr="00A9545D" w:rsidRDefault="00A9545D" w:rsidP="00A9545D">
      <w:pPr>
        <w:widowControl/>
        <w:spacing w:after="90" w:line="360" w:lineRule="atLeast"/>
        <w:ind w:firstLine="640"/>
        <w:jc w:val="left"/>
        <w:rPr>
          <w:rFonts w:ascii="宋体" w:eastAsia="宋体" w:hAnsi="宋体" w:cs="宋体" w:hint="eastAsia"/>
          <w:color w:val="000000"/>
          <w:kern w:val="0"/>
          <w:szCs w:val="21"/>
        </w:rPr>
      </w:pPr>
      <w:r w:rsidRPr="00A9545D">
        <w:rPr>
          <w:rFonts w:ascii="仿宋_GB2312" w:eastAsia="仿宋_GB2312" w:hAnsi="宋体" w:cs="宋体" w:hint="eastAsia"/>
          <w:b/>
          <w:bCs/>
          <w:color w:val="000000"/>
          <w:kern w:val="0"/>
          <w:sz w:val="24"/>
          <w:szCs w:val="24"/>
        </w:rPr>
        <w:t>一、部门基本情况</w:t>
      </w:r>
    </w:p>
    <w:p w:rsidR="00A9545D" w:rsidRPr="00A9545D" w:rsidRDefault="00A9545D" w:rsidP="00A9545D">
      <w:pPr>
        <w:widowControl/>
        <w:spacing w:after="90" w:line="360" w:lineRule="atLeast"/>
        <w:ind w:firstLine="640"/>
        <w:jc w:val="left"/>
        <w:rPr>
          <w:rFonts w:ascii="宋体" w:eastAsia="宋体" w:hAnsi="宋体" w:cs="宋体" w:hint="eastAsia"/>
          <w:color w:val="000000"/>
          <w:kern w:val="0"/>
          <w:szCs w:val="21"/>
        </w:rPr>
      </w:pPr>
      <w:r w:rsidRPr="00A9545D">
        <w:rPr>
          <w:rFonts w:ascii="仿宋_GB2312" w:eastAsia="仿宋_GB2312" w:hAnsi="宋体" w:cs="宋体" w:hint="eastAsia"/>
          <w:b/>
          <w:bCs/>
          <w:color w:val="000000"/>
          <w:kern w:val="0"/>
          <w:sz w:val="24"/>
          <w:szCs w:val="24"/>
        </w:rPr>
        <w:t>（一）部门机构设置、职能</w:t>
      </w:r>
    </w:p>
    <w:p w:rsidR="00A9545D" w:rsidRPr="00A9545D" w:rsidRDefault="00A9545D" w:rsidP="00A9545D">
      <w:pPr>
        <w:widowControl/>
        <w:spacing w:after="90" w:line="360" w:lineRule="atLeast"/>
        <w:ind w:firstLine="640"/>
        <w:jc w:val="left"/>
        <w:rPr>
          <w:rFonts w:ascii="宋体" w:eastAsia="宋体" w:hAnsi="宋体" w:cs="宋体" w:hint="eastAsia"/>
          <w:color w:val="000000"/>
          <w:kern w:val="0"/>
          <w:szCs w:val="21"/>
        </w:rPr>
      </w:pPr>
      <w:r w:rsidRPr="00A9545D">
        <w:rPr>
          <w:rFonts w:ascii="仿宋_GB2312" w:eastAsia="仿宋_GB2312" w:hAnsi="宋体" w:cs="宋体" w:hint="eastAsia"/>
          <w:color w:val="000000"/>
          <w:kern w:val="0"/>
          <w:sz w:val="24"/>
          <w:szCs w:val="24"/>
        </w:rPr>
        <w:t>贯彻执行国家和省有关人力资源和社会保障事业发展的方针政策和法律法规，编制本市人力资源和社会保障事业中长期规划和年度计划，并组织实施和监督检查。拟订和组织实施本市人力资源市场发展规划，负责促进就业工作，统筹建立覆盖城乡的社会保障体系，负责就业、失业、社会保险基金预测预警和信息引导，贯彻执行工资收入分配政策及机关企事业单位人员福利和离退休政策，会同有关部门指导事业单位人事制度改革，会同有关部门贯彻落实军队转业干部安置政策，负责行政机关公务员和参照公务员法管理单位工作人员综合管理，组织实施劳动、人事争议调解仲裁制度和劳动关系政策，完善劳动关系协调机制等。市人力资源和社会保障局设16个内设机构及16个下属事业单位，列入决算编制的包括局机关及市城乡居民医疗保险中心、市人事考试办公室、市劳动人事争议调解仲裁院、市流动人才管理办公室、市劳动监察大队、市企业退休人员社会化服务管理办公室、市人力资源社会保障信息管理中心、市军队转业干部培训中心。</w:t>
      </w:r>
    </w:p>
    <w:p w:rsidR="00A9545D" w:rsidRPr="00A9545D" w:rsidRDefault="00A9545D" w:rsidP="00A9545D">
      <w:pPr>
        <w:widowControl/>
        <w:spacing w:after="90" w:line="360" w:lineRule="atLeast"/>
        <w:ind w:firstLine="640"/>
        <w:jc w:val="left"/>
        <w:rPr>
          <w:rFonts w:ascii="宋体" w:eastAsia="宋体" w:hAnsi="宋体" w:cs="宋体" w:hint="eastAsia"/>
          <w:color w:val="000000"/>
          <w:kern w:val="0"/>
          <w:szCs w:val="21"/>
        </w:rPr>
      </w:pPr>
      <w:r w:rsidRPr="00A9545D">
        <w:rPr>
          <w:rFonts w:ascii="仿宋_GB2312" w:eastAsia="仿宋_GB2312" w:hAnsi="宋体" w:cs="宋体" w:hint="eastAsia"/>
          <w:b/>
          <w:bCs/>
          <w:color w:val="000000"/>
          <w:kern w:val="0"/>
          <w:sz w:val="24"/>
          <w:szCs w:val="24"/>
        </w:rPr>
        <w:t>（二）人员构成情况</w:t>
      </w:r>
    </w:p>
    <w:p w:rsidR="00A9545D" w:rsidRPr="00A9545D" w:rsidRDefault="00A9545D" w:rsidP="00A9545D">
      <w:pPr>
        <w:widowControl/>
        <w:spacing w:after="90" w:line="360" w:lineRule="atLeast"/>
        <w:ind w:firstLine="640"/>
        <w:jc w:val="left"/>
        <w:rPr>
          <w:rFonts w:ascii="宋体" w:eastAsia="宋体" w:hAnsi="宋体" w:cs="宋体" w:hint="eastAsia"/>
          <w:color w:val="000000"/>
          <w:kern w:val="0"/>
          <w:szCs w:val="21"/>
        </w:rPr>
      </w:pPr>
      <w:r w:rsidRPr="00A9545D">
        <w:rPr>
          <w:rFonts w:ascii="仿宋_GB2312" w:eastAsia="仿宋_GB2312" w:hAnsi="宋体" w:cs="宋体" w:hint="eastAsia"/>
          <w:color w:val="000000"/>
          <w:kern w:val="0"/>
          <w:sz w:val="24"/>
          <w:szCs w:val="24"/>
        </w:rPr>
        <w:t>市人力资源和社会保障局机关行政编制47名，后勤服务人员数7名，退休人员43名。市城乡居民医疗保险中心编制4名，市人事考试办公室编制6名，市劳动人事争议调解仲裁院编制6名，市流动人才管理办公室6名，市劳动监察大队10名，退休人员3名，市企业退休人员社会化服务管理办公室5名，市人力资源社会保障信息管理中心13名，市军队转业干部培训中心10名。</w:t>
      </w:r>
    </w:p>
    <w:p w:rsidR="00A9545D" w:rsidRPr="00A9545D" w:rsidRDefault="00A9545D" w:rsidP="00A9545D">
      <w:pPr>
        <w:widowControl/>
        <w:spacing w:after="90" w:line="360" w:lineRule="atLeast"/>
        <w:ind w:firstLine="640"/>
        <w:jc w:val="left"/>
        <w:rPr>
          <w:rFonts w:ascii="宋体" w:eastAsia="宋体" w:hAnsi="宋体" w:cs="宋体" w:hint="eastAsia"/>
          <w:color w:val="000000"/>
          <w:kern w:val="0"/>
          <w:szCs w:val="21"/>
        </w:rPr>
      </w:pPr>
      <w:r w:rsidRPr="00A9545D">
        <w:rPr>
          <w:rFonts w:ascii="仿宋_GB2312" w:eastAsia="仿宋_GB2312" w:hAnsi="宋体" w:cs="宋体" w:hint="eastAsia"/>
          <w:b/>
          <w:bCs/>
          <w:color w:val="000000"/>
          <w:kern w:val="0"/>
          <w:sz w:val="24"/>
          <w:szCs w:val="24"/>
        </w:rPr>
        <w:t>（三）预算年度的主要工作任务</w:t>
      </w:r>
    </w:p>
    <w:p w:rsidR="00A9545D" w:rsidRPr="00A9545D" w:rsidRDefault="00A9545D" w:rsidP="00A9545D">
      <w:pPr>
        <w:widowControl/>
        <w:spacing w:after="90" w:line="360" w:lineRule="atLeast"/>
        <w:ind w:firstLine="640"/>
        <w:jc w:val="left"/>
        <w:rPr>
          <w:rFonts w:ascii="宋体" w:eastAsia="宋体" w:hAnsi="宋体" w:cs="宋体" w:hint="eastAsia"/>
          <w:color w:val="000000"/>
          <w:kern w:val="0"/>
          <w:szCs w:val="21"/>
        </w:rPr>
      </w:pPr>
      <w:r w:rsidRPr="00A9545D">
        <w:rPr>
          <w:rFonts w:ascii="仿宋_GB2312" w:eastAsia="仿宋_GB2312" w:hAnsi="宋体" w:cs="宋体" w:hint="eastAsia"/>
          <w:color w:val="000000"/>
          <w:kern w:val="0"/>
          <w:sz w:val="24"/>
          <w:szCs w:val="24"/>
        </w:rPr>
        <w:t>根据市委、市政府的决策部署，全面贯彻党的十八大、十八届二中、三中、四中全会和习近平总书记系列重要讲话精神，围绕民生为本、人才优先工作主线，保持先进、提档进位、创新亮点，助力我市振兴发展。</w:t>
      </w:r>
    </w:p>
    <w:p w:rsidR="00A9545D" w:rsidRPr="00A9545D" w:rsidRDefault="00A9545D" w:rsidP="00A9545D">
      <w:pPr>
        <w:widowControl/>
        <w:spacing w:after="90" w:line="360" w:lineRule="atLeast"/>
        <w:ind w:firstLine="640"/>
        <w:jc w:val="left"/>
        <w:rPr>
          <w:rFonts w:ascii="宋体" w:eastAsia="宋体" w:hAnsi="宋体" w:cs="宋体" w:hint="eastAsia"/>
          <w:color w:val="000000"/>
          <w:kern w:val="0"/>
          <w:szCs w:val="21"/>
        </w:rPr>
      </w:pPr>
      <w:r w:rsidRPr="00A9545D">
        <w:rPr>
          <w:rFonts w:ascii="仿宋_GB2312" w:eastAsia="仿宋_GB2312" w:hAnsi="宋体" w:cs="宋体" w:hint="eastAsia"/>
          <w:b/>
          <w:bCs/>
          <w:color w:val="000000"/>
          <w:kern w:val="0"/>
          <w:sz w:val="24"/>
          <w:szCs w:val="24"/>
        </w:rPr>
        <w:t>二、收入预算说明</w:t>
      </w:r>
    </w:p>
    <w:p w:rsidR="00A9545D" w:rsidRPr="00A9545D" w:rsidRDefault="00A9545D" w:rsidP="00A9545D">
      <w:pPr>
        <w:widowControl/>
        <w:spacing w:after="90" w:line="360" w:lineRule="atLeast"/>
        <w:ind w:firstLine="640"/>
        <w:jc w:val="left"/>
        <w:rPr>
          <w:rFonts w:ascii="宋体" w:eastAsia="宋体" w:hAnsi="宋体" w:cs="宋体" w:hint="eastAsia"/>
          <w:color w:val="000000"/>
          <w:kern w:val="0"/>
          <w:szCs w:val="21"/>
        </w:rPr>
      </w:pPr>
      <w:r w:rsidRPr="00A9545D">
        <w:rPr>
          <w:rFonts w:ascii="仿宋_GB2312" w:eastAsia="仿宋_GB2312" w:hAnsi="宋体" w:cs="宋体" w:hint="eastAsia"/>
          <w:color w:val="000000"/>
          <w:kern w:val="0"/>
          <w:sz w:val="24"/>
          <w:szCs w:val="24"/>
        </w:rPr>
        <w:t>2015年收入预算1837.54万元，其中：公共预算拨款1837.54万元。</w:t>
      </w:r>
    </w:p>
    <w:p w:rsidR="00A9545D" w:rsidRPr="00A9545D" w:rsidRDefault="00A9545D" w:rsidP="00A9545D">
      <w:pPr>
        <w:widowControl/>
        <w:spacing w:after="90" w:line="360" w:lineRule="atLeast"/>
        <w:ind w:firstLine="640"/>
        <w:jc w:val="left"/>
        <w:rPr>
          <w:rFonts w:ascii="宋体" w:eastAsia="宋体" w:hAnsi="宋体" w:cs="宋体" w:hint="eastAsia"/>
          <w:color w:val="000000"/>
          <w:kern w:val="0"/>
          <w:szCs w:val="21"/>
        </w:rPr>
      </w:pPr>
      <w:r w:rsidRPr="00A9545D">
        <w:rPr>
          <w:rFonts w:ascii="仿宋_GB2312" w:eastAsia="仿宋_GB2312" w:hAnsi="宋体" w:cs="宋体" w:hint="eastAsia"/>
          <w:b/>
          <w:bCs/>
          <w:color w:val="000000"/>
          <w:kern w:val="0"/>
          <w:sz w:val="24"/>
          <w:szCs w:val="24"/>
        </w:rPr>
        <w:t>三、支出预算说明</w:t>
      </w:r>
    </w:p>
    <w:p w:rsidR="00A9545D" w:rsidRPr="00A9545D" w:rsidRDefault="00A9545D" w:rsidP="00A9545D">
      <w:pPr>
        <w:widowControl/>
        <w:spacing w:after="90" w:line="360" w:lineRule="atLeast"/>
        <w:ind w:firstLine="640"/>
        <w:jc w:val="left"/>
        <w:rPr>
          <w:rFonts w:ascii="宋体" w:eastAsia="宋体" w:hAnsi="宋体" w:cs="宋体" w:hint="eastAsia"/>
          <w:color w:val="000000"/>
          <w:kern w:val="0"/>
          <w:szCs w:val="21"/>
        </w:rPr>
      </w:pPr>
      <w:r w:rsidRPr="00A9545D">
        <w:rPr>
          <w:rFonts w:ascii="仿宋_GB2312" w:eastAsia="仿宋_GB2312" w:hAnsi="宋体" w:cs="宋体" w:hint="eastAsia"/>
          <w:color w:val="000000"/>
          <w:kern w:val="0"/>
          <w:sz w:val="24"/>
          <w:szCs w:val="24"/>
        </w:rPr>
        <w:t>2015年支出预算1837.54万元，其中：财政拨款支出1837.54万元。</w:t>
      </w:r>
    </w:p>
    <w:p w:rsidR="00A9545D" w:rsidRPr="00A9545D" w:rsidRDefault="00A9545D" w:rsidP="00A9545D">
      <w:pPr>
        <w:widowControl/>
        <w:spacing w:after="90" w:line="360" w:lineRule="atLeast"/>
        <w:ind w:firstLine="640"/>
        <w:jc w:val="left"/>
        <w:rPr>
          <w:rFonts w:ascii="宋体" w:eastAsia="宋体" w:hAnsi="宋体" w:cs="宋体" w:hint="eastAsia"/>
          <w:color w:val="000000"/>
          <w:kern w:val="0"/>
          <w:szCs w:val="21"/>
        </w:rPr>
      </w:pPr>
      <w:r w:rsidRPr="00A9545D">
        <w:rPr>
          <w:rFonts w:ascii="仿宋_GB2312" w:eastAsia="仿宋_GB2312" w:hAnsi="宋体" w:cs="宋体" w:hint="eastAsia"/>
          <w:color w:val="000000"/>
          <w:kern w:val="0"/>
          <w:sz w:val="24"/>
          <w:szCs w:val="24"/>
        </w:rPr>
        <w:lastRenderedPageBreak/>
        <w:t>2015年财政拨款支出按用途划分，基本支出1572.54万元，占85.58%，其中：工资福利支出865.63万元，对个人和家庭的补助478.07万元，商品和服务支出228.84万元；项目支出预算265万元，占14.42%。</w:t>
      </w:r>
    </w:p>
    <w:p w:rsidR="00A9545D" w:rsidRPr="00A9545D" w:rsidRDefault="00A9545D" w:rsidP="00A9545D">
      <w:pPr>
        <w:widowControl/>
        <w:spacing w:after="90" w:line="360" w:lineRule="atLeast"/>
        <w:ind w:firstLine="640"/>
        <w:jc w:val="left"/>
        <w:rPr>
          <w:rFonts w:ascii="宋体" w:eastAsia="宋体" w:hAnsi="宋体" w:cs="宋体" w:hint="eastAsia"/>
          <w:color w:val="000000"/>
          <w:kern w:val="0"/>
          <w:szCs w:val="21"/>
        </w:rPr>
      </w:pPr>
      <w:r w:rsidRPr="00A9545D">
        <w:rPr>
          <w:rFonts w:ascii="仿宋_GB2312" w:eastAsia="仿宋_GB2312" w:hAnsi="宋体" w:cs="宋体" w:hint="eastAsia"/>
          <w:b/>
          <w:bCs/>
          <w:color w:val="000000"/>
          <w:kern w:val="0"/>
          <w:sz w:val="24"/>
          <w:szCs w:val="24"/>
        </w:rPr>
        <w:t>四、“三公经费”预算支出说明</w:t>
      </w:r>
    </w:p>
    <w:p w:rsidR="00A9545D" w:rsidRPr="00A9545D" w:rsidRDefault="00A9545D" w:rsidP="00A9545D">
      <w:pPr>
        <w:widowControl/>
        <w:spacing w:after="90" w:line="360" w:lineRule="atLeast"/>
        <w:ind w:firstLine="640"/>
        <w:jc w:val="left"/>
        <w:rPr>
          <w:rFonts w:ascii="宋体" w:eastAsia="宋体" w:hAnsi="宋体" w:cs="宋体" w:hint="eastAsia"/>
          <w:color w:val="000000"/>
          <w:kern w:val="0"/>
          <w:szCs w:val="21"/>
        </w:rPr>
      </w:pPr>
      <w:r w:rsidRPr="00A9545D">
        <w:rPr>
          <w:rFonts w:ascii="仿宋_GB2312" w:eastAsia="仿宋_GB2312" w:hAnsi="宋体" w:cs="宋体" w:hint="eastAsia"/>
          <w:color w:val="000000"/>
          <w:kern w:val="0"/>
          <w:sz w:val="24"/>
          <w:szCs w:val="24"/>
        </w:rPr>
        <w:t>2015年“三公经费”财政拨款预算支出共96.5万元，具体情况如下：</w:t>
      </w:r>
    </w:p>
    <w:p w:rsidR="00A9545D" w:rsidRPr="00A9545D" w:rsidRDefault="00A9545D" w:rsidP="00A9545D">
      <w:pPr>
        <w:widowControl/>
        <w:spacing w:after="90" w:line="360" w:lineRule="atLeast"/>
        <w:ind w:firstLine="640"/>
        <w:jc w:val="left"/>
        <w:rPr>
          <w:rFonts w:ascii="宋体" w:eastAsia="宋体" w:hAnsi="宋体" w:cs="宋体" w:hint="eastAsia"/>
          <w:color w:val="000000"/>
          <w:kern w:val="0"/>
          <w:szCs w:val="21"/>
        </w:rPr>
      </w:pPr>
      <w:r w:rsidRPr="00A9545D">
        <w:rPr>
          <w:rFonts w:ascii="仿宋_GB2312" w:eastAsia="仿宋_GB2312" w:hAnsi="宋体" w:cs="宋体" w:hint="eastAsia"/>
          <w:color w:val="000000"/>
          <w:kern w:val="0"/>
          <w:sz w:val="24"/>
          <w:szCs w:val="24"/>
        </w:rPr>
        <w:t>1.因公出国（境）费支出0万元。</w:t>
      </w:r>
    </w:p>
    <w:p w:rsidR="00A9545D" w:rsidRPr="00A9545D" w:rsidRDefault="00A9545D" w:rsidP="00A9545D">
      <w:pPr>
        <w:widowControl/>
        <w:spacing w:after="90" w:line="360" w:lineRule="atLeast"/>
        <w:ind w:firstLine="640"/>
        <w:jc w:val="left"/>
        <w:rPr>
          <w:rFonts w:ascii="宋体" w:eastAsia="宋体" w:hAnsi="宋体" w:cs="宋体" w:hint="eastAsia"/>
          <w:color w:val="000000"/>
          <w:kern w:val="0"/>
          <w:szCs w:val="21"/>
        </w:rPr>
      </w:pPr>
      <w:r w:rsidRPr="00A9545D">
        <w:rPr>
          <w:rFonts w:ascii="仿宋_GB2312" w:eastAsia="仿宋_GB2312" w:hAnsi="宋体" w:cs="宋体" w:hint="eastAsia"/>
          <w:color w:val="000000"/>
          <w:kern w:val="0"/>
          <w:sz w:val="24"/>
          <w:szCs w:val="24"/>
        </w:rPr>
        <w:t>2.公务用车购置及运行维护费预算支出25万元，公务车保有量16辆，全年运行维护费预算支出25万元。公车费用预计比2014年增长-20.8%。</w:t>
      </w:r>
    </w:p>
    <w:p w:rsidR="00A9545D" w:rsidRPr="00A9545D" w:rsidRDefault="00A9545D" w:rsidP="00A9545D">
      <w:pPr>
        <w:widowControl/>
        <w:spacing w:after="90" w:line="360" w:lineRule="atLeast"/>
        <w:ind w:firstLine="640"/>
        <w:jc w:val="left"/>
        <w:rPr>
          <w:rFonts w:ascii="宋体" w:eastAsia="宋体" w:hAnsi="宋体" w:cs="宋体" w:hint="eastAsia"/>
          <w:color w:val="000000"/>
          <w:kern w:val="0"/>
          <w:szCs w:val="21"/>
        </w:rPr>
      </w:pPr>
      <w:r w:rsidRPr="00A9545D">
        <w:rPr>
          <w:rFonts w:ascii="仿宋_GB2312" w:eastAsia="仿宋_GB2312" w:hAnsi="宋体" w:cs="宋体" w:hint="eastAsia"/>
          <w:color w:val="000000"/>
          <w:kern w:val="0"/>
          <w:sz w:val="24"/>
          <w:szCs w:val="24"/>
        </w:rPr>
        <w:t>3.公务接待费支出71.5万元，主要用于接待上级来人。公务接待费预计比2014年增长-15.8%。</w:t>
      </w:r>
    </w:p>
    <w:p w:rsidR="00A9545D" w:rsidRPr="00A9545D" w:rsidRDefault="00A9545D" w:rsidP="00267980">
      <w:pPr>
        <w:widowControl/>
        <w:wordWrap w:val="0"/>
        <w:spacing w:line="375" w:lineRule="atLeast"/>
        <w:jc w:val="left"/>
        <w:rPr>
          <w:rFonts w:ascii="华文仿宋" w:eastAsia="华文仿宋" w:hAnsi="华文仿宋" w:cs="Tahoma"/>
          <w:color w:val="000000"/>
          <w:kern w:val="0"/>
          <w:sz w:val="32"/>
          <w:szCs w:val="32"/>
        </w:rPr>
      </w:pPr>
    </w:p>
    <w:sectPr w:rsidR="00A9545D" w:rsidRPr="00A9545D" w:rsidSect="004A55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02F4" w:rsidRDefault="00EF02F4" w:rsidP="00EF36D5">
      <w:r>
        <w:separator/>
      </w:r>
    </w:p>
  </w:endnote>
  <w:endnote w:type="continuationSeparator" w:id="1">
    <w:p w:rsidR="00EF02F4" w:rsidRDefault="00EF02F4" w:rsidP="00EF36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02F4" w:rsidRDefault="00EF02F4" w:rsidP="00EF36D5">
      <w:r>
        <w:separator/>
      </w:r>
    </w:p>
  </w:footnote>
  <w:footnote w:type="continuationSeparator" w:id="1">
    <w:p w:rsidR="00EF02F4" w:rsidRDefault="00EF02F4" w:rsidP="00EF36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97551"/>
    <w:multiLevelType w:val="hybridMultilevel"/>
    <w:tmpl w:val="A9269D1A"/>
    <w:lvl w:ilvl="0" w:tplc="EF52AD4C">
      <w:start w:val="1"/>
      <w:numFmt w:val="japaneseCounting"/>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nsid w:val="18593873"/>
    <w:multiLevelType w:val="hybridMultilevel"/>
    <w:tmpl w:val="114AAC90"/>
    <w:lvl w:ilvl="0" w:tplc="E8BE7940">
      <w:start w:val="1"/>
      <w:numFmt w:val="decimal"/>
      <w:lvlText w:val="%1、"/>
      <w:lvlJc w:val="left"/>
      <w:pPr>
        <w:ind w:left="1590" w:hanging="1005"/>
      </w:pPr>
      <w:rPr>
        <w:rFonts w:hint="default"/>
      </w:rPr>
    </w:lvl>
    <w:lvl w:ilvl="1" w:tplc="04090019" w:tentative="1">
      <w:start w:val="1"/>
      <w:numFmt w:val="lowerLetter"/>
      <w:lvlText w:val="%2)"/>
      <w:lvlJc w:val="left"/>
      <w:pPr>
        <w:ind w:left="1425" w:hanging="420"/>
      </w:pPr>
    </w:lvl>
    <w:lvl w:ilvl="2" w:tplc="0409001B" w:tentative="1">
      <w:start w:val="1"/>
      <w:numFmt w:val="lowerRoman"/>
      <w:lvlText w:val="%3."/>
      <w:lvlJc w:val="right"/>
      <w:pPr>
        <w:ind w:left="1845" w:hanging="420"/>
      </w:pPr>
    </w:lvl>
    <w:lvl w:ilvl="3" w:tplc="0409000F" w:tentative="1">
      <w:start w:val="1"/>
      <w:numFmt w:val="decimal"/>
      <w:lvlText w:val="%4."/>
      <w:lvlJc w:val="left"/>
      <w:pPr>
        <w:ind w:left="2265" w:hanging="420"/>
      </w:pPr>
    </w:lvl>
    <w:lvl w:ilvl="4" w:tplc="04090019" w:tentative="1">
      <w:start w:val="1"/>
      <w:numFmt w:val="lowerLetter"/>
      <w:lvlText w:val="%5)"/>
      <w:lvlJc w:val="left"/>
      <w:pPr>
        <w:ind w:left="2685" w:hanging="420"/>
      </w:pPr>
    </w:lvl>
    <w:lvl w:ilvl="5" w:tplc="0409001B" w:tentative="1">
      <w:start w:val="1"/>
      <w:numFmt w:val="lowerRoman"/>
      <w:lvlText w:val="%6."/>
      <w:lvlJc w:val="right"/>
      <w:pPr>
        <w:ind w:left="3105" w:hanging="420"/>
      </w:pPr>
    </w:lvl>
    <w:lvl w:ilvl="6" w:tplc="0409000F" w:tentative="1">
      <w:start w:val="1"/>
      <w:numFmt w:val="decimal"/>
      <w:lvlText w:val="%7."/>
      <w:lvlJc w:val="left"/>
      <w:pPr>
        <w:ind w:left="3525" w:hanging="420"/>
      </w:pPr>
    </w:lvl>
    <w:lvl w:ilvl="7" w:tplc="04090019" w:tentative="1">
      <w:start w:val="1"/>
      <w:numFmt w:val="lowerLetter"/>
      <w:lvlText w:val="%8)"/>
      <w:lvlJc w:val="left"/>
      <w:pPr>
        <w:ind w:left="3945" w:hanging="420"/>
      </w:pPr>
    </w:lvl>
    <w:lvl w:ilvl="8" w:tplc="0409001B" w:tentative="1">
      <w:start w:val="1"/>
      <w:numFmt w:val="lowerRoman"/>
      <w:lvlText w:val="%9."/>
      <w:lvlJc w:val="right"/>
      <w:pPr>
        <w:ind w:left="4365" w:hanging="420"/>
      </w:pPr>
    </w:lvl>
  </w:abstractNum>
  <w:abstractNum w:abstractNumId="2">
    <w:nsid w:val="2A6B0CEA"/>
    <w:multiLevelType w:val="hybridMultilevel"/>
    <w:tmpl w:val="35EAD380"/>
    <w:lvl w:ilvl="0" w:tplc="15AEFF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083578A"/>
    <w:multiLevelType w:val="hybridMultilevel"/>
    <w:tmpl w:val="713EF8DE"/>
    <w:lvl w:ilvl="0" w:tplc="A3D25D7A">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
    <w:nsid w:val="78FD63EE"/>
    <w:multiLevelType w:val="hybridMultilevel"/>
    <w:tmpl w:val="456CB076"/>
    <w:lvl w:ilvl="0" w:tplc="9496D51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F36D5"/>
    <w:rsid w:val="00155FD3"/>
    <w:rsid w:val="001E0AD0"/>
    <w:rsid w:val="0026509B"/>
    <w:rsid w:val="00267980"/>
    <w:rsid w:val="00280895"/>
    <w:rsid w:val="0031786C"/>
    <w:rsid w:val="00317DF1"/>
    <w:rsid w:val="003A123F"/>
    <w:rsid w:val="003E78C5"/>
    <w:rsid w:val="003F04C1"/>
    <w:rsid w:val="00427C8C"/>
    <w:rsid w:val="004A5520"/>
    <w:rsid w:val="005755E1"/>
    <w:rsid w:val="00A9545D"/>
    <w:rsid w:val="00BB2B5D"/>
    <w:rsid w:val="00EF02F4"/>
    <w:rsid w:val="00EF36D5"/>
    <w:rsid w:val="00F3004E"/>
    <w:rsid w:val="00F47D24"/>
    <w:rsid w:val="00F823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5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F36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F36D5"/>
    <w:rPr>
      <w:sz w:val="18"/>
      <w:szCs w:val="18"/>
    </w:rPr>
  </w:style>
  <w:style w:type="paragraph" w:styleId="a4">
    <w:name w:val="footer"/>
    <w:basedOn w:val="a"/>
    <w:link w:val="Char0"/>
    <w:uiPriority w:val="99"/>
    <w:semiHidden/>
    <w:unhideWhenUsed/>
    <w:rsid w:val="00EF36D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F36D5"/>
    <w:rPr>
      <w:sz w:val="18"/>
      <w:szCs w:val="18"/>
    </w:rPr>
  </w:style>
  <w:style w:type="paragraph" w:styleId="a5">
    <w:name w:val="List Paragraph"/>
    <w:basedOn w:val="a"/>
    <w:uiPriority w:val="34"/>
    <w:qFormat/>
    <w:rsid w:val="003A123F"/>
    <w:pPr>
      <w:ind w:firstLineChars="200" w:firstLine="420"/>
    </w:pPr>
  </w:style>
  <w:style w:type="paragraph" w:styleId="a6">
    <w:name w:val="Date"/>
    <w:basedOn w:val="a"/>
    <w:next w:val="a"/>
    <w:link w:val="Char1"/>
    <w:uiPriority w:val="99"/>
    <w:semiHidden/>
    <w:unhideWhenUsed/>
    <w:rsid w:val="00A9545D"/>
    <w:pPr>
      <w:ind w:leftChars="2500" w:left="100"/>
    </w:pPr>
  </w:style>
  <w:style w:type="character" w:customStyle="1" w:styleId="Char1">
    <w:name w:val="日期 Char"/>
    <w:basedOn w:val="a0"/>
    <w:link w:val="a6"/>
    <w:uiPriority w:val="99"/>
    <w:semiHidden/>
    <w:rsid w:val="00A9545D"/>
  </w:style>
  <w:style w:type="character" w:customStyle="1" w:styleId="ca-6">
    <w:name w:val="ca-6"/>
    <w:basedOn w:val="a0"/>
    <w:rsid w:val="00A9545D"/>
  </w:style>
</w:styles>
</file>

<file path=word/webSettings.xml><?xml version="1.0" encoding="utf-8"?>
<w:webSettings xmlns:r="http://schemas.openxmlformats.org/officeDocument/2006/relationships" xmlns:w="http://schemas.openxmlformats.org/wordprocessingml/2006/main">
  <w:divs>
    <w:div w:id="57432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175</Words>
  <Characters>1003</Characters>
  <Application>Microsoft Office Word</Application>
  <DocSecurity>0</DocSecurity>
  <Lines>8</Lines>
  <Paragraphs>2</Paragraphs>
  <ScaleCrop>false</ScaleCrop>
  <Company>微软中国</Company>
  <LinksUpToDate>false</LinksUpToDate>
  <CharactersWithSpaces>1176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Chinese User</cp:lastModifiedBy>
  <cp:revision>2</cp:revision>
  <cp:lastPrinted>2015-08-13T04:01:00Z</cp:lastPrinted>
  <dcterms:created xsi:type="dcterms:W3CDTF">2016-07-26T02:35:00Z</dcterms:created>
  <dcterms:modified xsi:type="dcterms:W3CDTF">2016-07-26T02:35:00Z</dcterms:modified>
</cp:coreProperties>
</file>