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B5" w:rsidRDefault="00DC4E44">
      <w:pPr>
        <w:spacing w:line="560" w:lineRule="atLeast"/>
        <w:ind w:firstLine="180"/>
        <w:jc w:val="center"/>
        <w:rPr>
          <w:rFonts w:ascii="黑体" w:eastAsia="黑体" w:hAnsi="黑体"/>
          <w:sz w:val="36"/>
          <w:szCs w:val="36"/>
        </w:rPr>
      </w:pPr>
      <w:r>
        <w:rPr>
          <w:rFonts w:ascii="黑体" w:eastAsia="黑体" w:hAnsi="黑体" w:hint="eastAsia"/>
          <w:sz w:val="36"/>
          <w:szCs w:val="36"/>
        </w:rPr>
        <w:t>梅州市公共资源交易中心2015年部门决算说明</w:t>
      </w:r>
    </w:p>
    <w:p w:rsidR="00A116B5" w:rsidRDefault="00A116B5">
      <w:pPr>
        <w:widowControl/>
        <w:spacing w:line="560" w:lineRule="atLeast"/>
        <w:jc w:val="center"/>
        <w:rPr>
          <w:rFonts w:ascii="宋体" w:eastAsia="宋体" w:hAnsi="宋体" w:cs="宋体"/>
          <w:color w:val="282828"/>
          <w:sz w:val="24"/>
          <w:szCs w:val="24"/>
        </w:rPr>
      </w:pPr>
    </w:p>
    <w:p w:rsidR="00A116B5" w:rsidRDefault="00DC4E44">
      <w:pPr>
        <w:spacing w:line="560" w:lineRule="atLeast"/>
        <w:ind w:firstLine="181"/>
        <w:jc w:val="center"/>
        <w:rPr>
          <w:rFonts w:ascii="黑体" w:eastAsia="黑体" w:hAnsi="黑体"/>
          <w:b/>
          <w:sz w:val="36"/>
          <w:szCs w:val="36"/>
        </w:rPr>
      </w:pPr>
      <w:r>
        <w:rPr>
          <w:rFonts w:ascii="黑体" w:eastAsia="黑体" w:hAnsi="黑体" w:cs="宋体" w:hint="eastAsia"/>
          <w:b/>
          <w:color w:val="282828"/>
          <w:sz w:val="36"/>
          <w:szCs w:val="36"/>
        </w:rPr>
        <w:t>目录</w:t>
      </w:r>
    </w:p>
    <w:p w:rsidR="00A116B5" w:rsidRDefault="00DC4E44">
      <w:pPr>
        <w:widowControl/>
        <w:spacing w:line="560" w:lineRule="atLeast"/>
        <w:jc w:val="left"/>
        <w:rPr>
          <w:rFonts w:ascii="仿宋" w:eastAsia="仿宋" w:hAnsi="仿宋" w:cs="宋体"/>
          <w:color w:val="282828"/>
          <w:sz w:val="24"/>
          <w:szCs w:val="24"/>
        </w:rPr>
      </w:pPr>
      <w:r>
        <w:rPr>
          <w:rFonts w:ascii="宋体" w:eastAsia="宋体" w:hAnsi="宋体" w:cs="宋体" w:hint="eastAsia"/>
          <w:color w:val="282828"/>
          <w:sz w:val="32"/>
          <w:szCs w:val="32"/>
        </w:rPr>
        <w:t xml:space="preserve">　　</w:t>
      </w:r>
      <w:r>
        <w:rPr>
          <w:rFonts w:ascii="仿宋" w:eastAsia="仿宋" w:hAnsi="仿宋" w:cs="宋体" w:hint="eastAsia"/>
          <w:color w:val="282828"/>
          <w:sz w:val="32"/>
          <w:szCs w:val="32"/>
        </w:rPr>
        <w:t xml:space="preserve">第一部分 </w:t>
      </w:r>
      <w:r>
        <w:rPr>
          <w:rFonts w:ascii="仿宋" w:eastAsia="仿宋" w:hAnsi="仿宋" w:hint="eastAsia"/>
          <w:sz w:val="30"/>
          <w:szCs w:val="30"/>
        </w:rPr>
        <w:t>梅州市公共资源交易中心</w:t>
      </w:r>
      <w:r>
        <w:rPr>
          <w:rFonts w:ascii="仿宋" w:eastAsia="仿宋" w:hAnsi="仿宋" w:cs="宋体" w:hint="eastAsia"/>
          <w:color w:val="282828"/>
          <w:sz w:val="32"/>
          <w:szCs w:val="32"/>
        </w:rPr>
        <w:t>概况</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一、 主要职能</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二、 部门决算单位构成</w:t>
      </w:r>
      <w:r>
        <w:rPr>
          <w:rFonts w:ascii="仿宋" w:eastAsia="仿宋" w:hAnsi="仿宋" w:cs="宋体" w:hint="eastAsia"/>
          <w:color w:val="282828"/>
          <w:sz w:val="32"/>
          <w:szCs w:val="32"/>
        </w:rPr>
        <w:br/>
        <w:t xml:space="preserve">　　第二部分 </w:t>
      </w:r>
      <w:r>
        <w:rPr>
          <w:rFonts w:ascii="仿宋" w:eastAsia="仿宋" w:hAnsi="仿宋" w:hint="eastAsia"/>
          <w:sz w:val="30"/>
          <w:szCs w:val="30"/>
        </w:rPr>
        <w:t>梅州市公共资源交易中心</w:t>
      </w:r>
      <w:r>
        <w:rPr>
          <w:rFonts w:ascii="仿宋" w:eastAsia="仿宋" w:hAnsi="仿宋" w:cs="宋体" w:hint="eastAsia"/>
          <w:color w:val="282828"/>
          <w:sz w:val="32"/>
          <w:szCs w:val="32"/>
        </w:rPr>
        <w:t>2015年度部门决算表</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一、 收入支出决算总表</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二、 收入决算表</w:t>
      </w:r>
    </w:p>
    <w:p w:rsidR="00A116B5" w:rsidRDefault="00DC4E44">
      <w:pPr>
        <w:widowControl/>
        <w:tabs>
          <w:tab w:val="left" w:pos="3675"/>
        </w:tabs>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三、 支出决算表</w:t>
      </w:r>
      <w:r>
        <w:rPr>
          <w:rFonts w:ascii="仿宋" w:eastAsia="仿宋" w:hAnsi="仿宋" w:cs="宋体"/>
          <w:color w:val="282828"/>
          <w:sz w:val="32"/>
          <w:szCs w:val="32"/>
        </w:rPr>
        <w:tab/>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四、 财政拨款收入支出决算总表</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五、 一般公共预算财政拨款支出决算表</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六、一般公共预算财政拨款基本支出决算表</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七、一般公共预算财政拨款“三公”经费支出决算表</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八、 政府性基金预算财政拨款收入支出决算表</w:t>
      </w:r>
    </w:p>
    <w:p w:rsidR="00A116B5" w:rsidRDefault="00DC4E44">
      <w:pPr>
        <w:widowControl/>
        <w:spacing w:line="560" w:lineRule="atLeast"/>
        <w:jc w:val="left"/>
        <w:rPr>
          <w:rFonts w:ascii="仿宋" w:eastAsia="仿宋" w:hAnsi="仿宋" w:cs="宋体"/>
          <w:color w:val="282828"/>
          <w:sz w:val="24"/>
          <w:szCs w:val="24"/>
        </w:rPr>
      </w:pPr>
      <w:r>
        <w:rPr>
          <w:rFonts w:ascii="仿宋" w:eastAsia="仿宋" w:hAnsi="仿宋" w:cs="宋体" w:hint="eastAsia"/>
          <w:color w:val="282828"/>
          <w:sz w:val="32"/>
          <w:szCs w:val="32"/>
        </w:rPr>
        <w:t xml:space="preserve">　　第三部分</w:t>
      </w:r>
      <w:r>
        <w:rPr>
          <w:rFonts w:ascii="宋体" w:eastAsia="宋体" w:hAnsi="宋体" w:cs="宋体" w:hint="eastAsia"/>
          <w:color w:val="282828"/>
          <w:sz w:val="32"/>
          <w:szCs w:val="32"/>
        </w:rPr>
        <w:t> </w:t>
      </w:r>
      <w:r>
        <w:rPr>
          <w:rFonts w:ascii="仿宋" w:eastAsia="仿宋" w:hAnsi="仿宋" w:hint="eastAsia"/>
          <w:sz w:val="30"/>
          <w:szCs w:val="30"/>
        </w:rPr>
        <w:t>梅州市公共资源交易中心</w:t>
      </w:r>
      <w:r>
        <w:rPr>
          <w:rFonts w:ascii="仿宋" w:eastAsia="仿宋" w:hAnsi="仿宋" w:cs="宋体" w:hint="eastAsia"/>
          <w:color w:val="282828"/>
          <w:sz w:val="32"/>
          <w:szCs w:val="32"/>
        </w:rPr>
        <w:t>2015年度部门决算情况说明</w:t>
      </w:r>
    </w:p>
    <w:p w:rsidR="00A116B5" w:rsidRDefault="00DC4E44">
      <w:pPr>
        <w:widowControl/>
        <w:spacing w:line="560" w:lineRule="atLeast"/>
        <w:ind w:firstLine="645"/>
        <w:jc w:val="left"/>
        <w:rPr>
          <w:rFonts w:ascii="仿宋" w:eastAsia="仿宋" w:hAnsi="仿宋" w:cs="宋体"/>
          <w:color w:val="282828"/>
          <w:sz w:val="24"/>
          <w:szCs w:val="24"/>
        </w:rPr>
      </w:pPr>
      <w:r>
        <w:rPr>
          <w:rFonts w:ascii="仿宋" w:eastAsia="仿宋" w:hAnsi="仿宋" w:cs="宋体" w:hint="eastAsia"/>
          <w:color w:val="282828"/>
          <w:sz w:val="32"/>
          <w:szCs w:val="32"/>
        </w:rPr>
        <w:t>第四部分 名词解释</w:t>
      </w:r>
    </w:p>
    <w:p w:rsidR="00A116B5" w:rsidRDefault="00A116B5">
      <w:pPr>
        <w:widowControl/>
        <w:spacing w:line="560" w:lineRule="atLeast"/>
        <w:ind w:firstLine="645"/>
        <w:jc w:val="left"/>
        <w:rPr>
          <w:rFonts w:ascii="仿宋" w:eastAsia="仿宋" w:hAnsi="仿宋" w:cs="宋体"/>
          <w:color w:val="282828"/>
          <w:sz w:val="24"/>
          <w:szCs w:val="24"/>
        </w:rPr>
      </w:pPr>
    </w:p>
    <w:p w:rsidR="00A116B5" w:rsidRDefault="00DC4E44">
      <w:pPr>
        <w:widowControl/>
        <w:spacing w:line="560" w:lineRule="atLeast"/>
        <w:jc w:val="center"/>
        <w:rPr>
          <w:rFonts w:ascii="宋体" w:eastAsia="宋体" w:hAnsi="宋体" w:cs="宋体"/>
          <w:color w:val="282828"/>
          <w:sz w:val="24"/>
          <w:szCs w:val="24"/>
        </w:rPr>
      </w:pPr>
      <w:r>
        <w:rPr>
          <w:rFonts w:ascii="宋体" w:eastAsia="宋体" w:hAnsi="宋体" w:cs="宋体" w:hint="eastAsia"/>
          <w:b/>
          <w:bCs/>
          <w:color w:val="282828"/>
          <w:sz w:val="32"/>
          <w:szCs w:val="32"/>
        </w:rPr>
        <w:t>第一部分 梅州市公共资源交易中心概况</w:t>
      </w:r>
    </w:p>
    <w:p w:rsidR="00A116B5" w:rsidRDefault="00DC4E44">
      <w:pPr>
        <w:spacing w:line="560" w:lineRule="atLeast"/>
        <w:ind w:firstLine="602"/>
        <w:rPr>
          <w:rFonts w:ascii="仿宋" w:eastAsia="仿宋" w:hAnsi="仿宋"/>
          <w:b/>
          <w:sz w:val="30"/>
          <w:szCs w:val="30"/>
        </w:rPr>
      </w:pPr>
      <w:r>
        <w:rPr>
          <w:rFonts w:ascii="仿宋" w:eastAsia="仿宋" w:hAnsi="仿宋" w:hint="eastAsia"/>
          <w:b/>
          <w:sz w:val="30"/>
          <w:szCs w:val="30"/>
        </w:rPr>
        <w:t>一、部门基本情况和主要职能</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梅州市公共资源交易中心是隶属于市政府办公室的副处级全额拨款事业单位，于2015年9月整合办公场所统一办公，同年11月份财政开始拨款。编制数为23人（含政府采购4人），实有在职人数23人。主要职能：</w:t>
      </w:r>
      <w:r>
        <w:rPr>
          <w:rFonts w:ascii="仿宋" w:eastAsia="仿宋" w:hAnsi="仿宋" w:hint="eastAsia"/>
          <w:sz w:val="30"/>
          <w:szCs w:val="30"/>
          <w:shd w:val="clear" w:color="auto" w:fill="FFFFFF"/>
        </w:rPr>
        <w:t xml:space="preserve">（1）、制定公共资源进场交易业务操作规程，建立和完 </w:t>
      </w:r>
      <w:proofErr w:type="gramStart"/>
      <w:r>
        <w:rPr>
          <w:rFonts w:ascii="仿宋" w:eastAsia="仿宋" w:hAnsi="仿宋" w:hint="eastAsia"/>
          <w:sz w:val="30"/>
          <w:szCs w:val="30"/>
          <w:shd w:val="clear" w:color="auto" w:fill="FFFFFF"/>
        </w:rPr>
        <w:t>善内部</w:t>
      </w:r>
      <w:proofErr w:type="gramEnd"/>
      <w:r>
        <w:rPr>
          <w:rFonts w:ascii="仿宋" w:eastAsia="仿宋" w:hAnsi="仿宋" w:hint="eastAsia"/>
          <w:sz w:val="30"/>
          <w:szCs w:val="30"/>
          <w:shd w:val="clear" w:color="auto" w:fill="FFFFFF"/>
        </w:rPr>
        <w:t>管理制度。</w:t>
      </w:r>
    </w:p>
    <w:p w:rsidR="00A116B5" w:rsidRDefault="00DC4E44">
      <w:pPr>
        <w:spacing w:line="560" w:lineRule="atLeast"/>
        <w:rPr>
          <w:rFonts w:ascii="仿宋" w:eastAsia="仿宋" w:hAnsi="仿宋"/>
          <w:sz w:val="30"/>
          <w:szCs w:val="30"/>
          <w:shd w:val="clear" w:color="auto" w:fill="FFFFFF"/>
        </w:rPr>
      </w:pPr>
      <w:r>
        <w:rPr>
          <w:rFonts w:ascii="仿宋" w:eastAsia="仿宋" w:hAnsi="仿宋" w:hint="eastAsia"/>
          <w:sz w:val="30"/>
          <w:szCs w:val="30"/>
          <w:shd w:val="clear" w:color="auto" w:fill="FFFFFF"/>
        </w:rPr>
        <w:lastRenderedPageBreak/>
        <w:t>（2）、承担公共资源交易平台、专家库、公共资源数据 系统的建设、维护和管理工作；为公共资源交易活动</w:t>
      </w:r>
      <w:proofErr w:type="gramStart"/>
      <w:r>
        <w:rPr>
          <w:rFonts w:ascii="仿宋" w:eastAsia="仿宋" w:hAnsi="仿宋" w:hint="eastAsia"/>
          <w:sz w:val="30"/>
          <w:szCs w:val="30"/>
          <w:shd w:val="clear" w:color="auto" w:fill="FFFFFF"/>
        </w:rPr>
        <w:t>提供场</w:t>
      </w:r>
      <w:proofErr w:type="gramEnd"/>
      <w:r>
        <w:rPr>
          <w:rFonts w:ascii="仿宋" w:eastAsia="仿宋" w:hAnsi="仿宋" w:hint="eastAsia"/>
          <w:sz w:val="30"/>
          <w:szCs w:val="30"/>
          <w:shd w:val="clear" w:color="auto" w:fill="FFFFFF"/>
        </w:rPr>
        <w:t xml:space="preserve"> 所、设施和服务。（3）</w:t>
      </w:r>
      <w:r>
        <w:rPr>
          <w:rFonts w:ascii="仿宋" w:eastAsia="仿宋" w:hAnsi="仿宋" w:hint="eastAsia"/>
          <w:sz w:val="30"/>
          <w:szCs w:val="30"/>
        </w:rPr>
        <w:t>、</w:t>
      </w:r>
      <w:r>
        <w:rPr>
          <w:rFonts w:ascii="仿宋" w:eastAsia="仿宋" w:hAnsi="仿宋" w:hint="eastAsia"/>
          <w:sz w:val="30"/>
          <w:szCs w:val="30"/>
          <w:shd w:val="clear" w:color="auto" w:fill="FFFFFF"/>
        </w:rPr>
        <w:t>核验市场主、中介机构资格及进场交易项目资料； 为公共资源交易主体提供信息咨询服务；为公共资源交易行 政监督工作提供监管平台，及时向有关部门报告并协助调查 违法违规交易行为（4）</w:t>
      </w:r>
      <w:r>
        <w:rPr>
          <w:rFonts w:ascii="仿宋" w:eastAsia="仿宋" w:hAnsi="仿宋" w:hint="eastAsia"/>
          <w:sz w:val="30"/>
          <w:szCs w:val="30"/>
        </w:rPr>
        <w:t>、</w:t>
      </w:r>
      <w:r>
        <w:rPr>
          <w:rFonts w:ascii="仿宋" w:eastAsia="仿宋" w:hAnsi="仿宋" w:hint="eastAsia"/>
          <w:sz w:val="30"/>
          <w:szCs w:val="30"/>
          <w:shd w:val="clear" w:color="auto" w:fill="FFFFFF"/>
        </w:rPr>
        <w:t>建立公共资源现场交易信用和纪律档案；收集、 存储和发布公共资源交易信息；见证公共资源进场</w:t>
      </w:r>
      <w:proofErr w:type="gramStart"/>
      <w:r>
        <w:rPr>
          <w:rFonts w:ascii="仿宋" w:eastAsia="仿宋" w:hAnsi="仿宋" w:hint="eastAsia"/>
          <w:sz w:val="30"/>
          <w:szCs w:val="30"/>
          <w:shd w:val="clear" w:color="auto" w:fill="FFFFFF"/>
        </w:rPr>
        <w:t>交易全过</w:t>
      </w:r>
      <w:proofErr w:type="gramEnd"/>
      <w:r>
        <w:rPr>
          <w:rFonts w:ascii="仿宋" w:eastAsia="仿宋" w:hAnsi="仿宋" w:hint="eastAsia"/>
          <w:sz w:val="30"/>
          <w:szCs w:val="30"/>
          <w:shd w:val="clear" w:color="auto" w:fill="FFFFFF"/>
        </w:rPr>
        <w:t xml:space="preserve"> 程，确认交易结果；整理、保存交易过程中的相关资料备查（5）</w:t>
      </w:r>
      <w:r>
        <w:rPr>
          <w:rFonts w:ascii="仿宋" w:eastAsia="仿宋" w:hAnsi="仿宋" w:hint="eastAsia"/>
          <w:sz w:val="30"/>
          <w:szCs w:val="30"/>
        </w:rPr>
        <w:t>、</w:t>
      </w:r>
      <w:r>
        <w:rPr>
          <w:rFonts w:ascii="仿宋" w:eastAsia="仿宋" w:hAnsi="仿宋" w:hint="eastAsia"/>
          <w:sz w:val="30"/>
          <w:szCs w:val="30"/>
          <w:shd w:val="clear" w:color="auto" w:fill="FFFFFF"/>
        </w:rPr>
        <w:t>组织协调有关部门对市级公共资源交易活动进行监管，协助处理交易投诉。</w:t>
      </w:r>
    </w:p>
    <w:p w:rsidR="00A116B5" w:rsidRDefault="00DC4E44">
      <w:pPr>
        <w:spacing w:line="560" w:lineRule="atLeast"/>
        <w:ind w:firstLine="482"/>
        <w:rPr>
          <w:rFonts w:ascii="仿宋" w:eastAsia="仿宋" w:hAnsi="仿宋"/>
          <w:b/>
          <w:sz w:val="30"/>
          <w:szCs w:val="30"/>
          <w:shd w:val="clear" w:color="auto" w:fill="FFFFFF"/>
        </w:rPr>
      </w:pPr>
      <w:r>
        <w:rPr>
          <w:rFonts w:ascii="仿宋" w:eastAsia="仿宋" w:hAnsi="仿宋" w:cs="宋体" w:hint="eastAsia"/>
          <w:b/>
          <w:color w:val="282828"/>
          <w:sz w:val="32"/>
          <w:szCs w:val="32"/>
        </w:rPr>
        <w:t>二、 部门决算单位构成</w:t>
      </w:r>
    </w:p>
    <w:p w:rsidR="00A116B5" w:rsidRDefault="00DC4E44">
      <w:pPr>
        <w:spacing w:line="560" w:lineRule="atLeast"/>
        <w:ind w:firstLine="450"/>
        <w:rPr>
          <w:rFonts w:ascii="仿宋" w:eastAsia="仿宋" w:hAnsi="仿宋"/>
          <w:color w:val="282828"/>
          <w:sz w:val="30"/>
          <w:szCs w:val="30"/>
        </w:rPr>
      </w:pPr>
      <w:r>
        <w:rPr>
          <w:rFonts w:ascii="仿宋" w:eastAsia="仿宋" w:hAnsi="仿宋" w:hint="eastAsia"/>
          <w:sz w:val="30"/>
          <w:szCs w:val="30"/>
        </w:rPr>
        <w:t>梅州市公共资源交易中心</w:t>
      </w:r>
      <w:r>
        <w:rPr>
          <w:rFonts w:ascii="仿宋" w:eastAsia="仿宋" w:hAnsi="仿宋" w:hint="eastAsia"/>
          <w:color w:val="282828"/>
          <w:sz w:val="30"/>
          <w:szCs w:val="30"/>
        </w:rPr>
        <w:t>本级作为财政预算一级单位。无下设财政预算二级单位。</w:t>
      </w:r>
    </w:p>
    <w:p w:rsidR="00A116B5" w:rsidRDefault="00A116B5">
      <w:pPr>
        <w:widowControl/>
        <w:spacing w:line="560" w:lineRule="atLeast"/>
        <w:rPr>
          <w:rFonts w:ascii="宋体" w:eastAsia="宋体" w:hAnsi="宋体" w:cs="宋体"/>
          <w:b/>
          <w:color w:val="282828"/>
          <w:sz w:val="32"/>
          <w:szCs w:val="32"/>
        </w:rPr>
      </w:pPr>
    </w:p>
    <w:p w:rsidR="00A116B5" w:rsidRDefault="00A116B5">
      <w:pPr>
        <w:widowControl/>
        <w:spacing w:line="560" w:lineRule="atLeast"/>
        <w:jc w:val="center"/>
        <w:rPr>
          <w:rFonts w:ascii="宋体" w:eastAsia="宋体" w:hAnsi="宋体" w:cs="宋体"/>
          <w:b/>
          <w:color w:val="282828"/>
          <w:sz w:val="32"/>
          <w:szCs w:val="32"/>
        </w:rPr>
      </w:pPr>
    </w:p>
    <w:p w:rsidR="00A116B5" w:rsidRDefault="00A116B5">
      <w:pPr>
        <w:widowControl/>
        <w:spacing w:line="560" w:lineRule="atLeast"/>
        <w:jc w:val="center"/>
        <w:rPr>
          <w:rFonts w:ascii="宋体" w:eastAsia="宋体" w:hAnsi="宋体" w:cs="宋体"/>
          <w:b/>
          <w:color w:val="282828"/>
          <w:sz w:val="32"/>
          <w:szCs w:val="32"/>
        </w:rPr>
      </w:pPr>
    </w:p>
    <w:p w:rsidR="00A116B5" w:rsidRDefault="00A116B5">
      <w:pPr>
        <w:widowControl/>
        <w:spacing w:line="560" w:lineRule="atLeast"/>
        <w:jc w:val="center"/>
        <w:rPr>
          <w:rFonts w:ascii="宋体" w:eastAsia="宋体" w:hAnsi="宋体" w:cs="宋体"/>
          <w:b/>
          <w:color w:val="282828"/>
          <w:sz w:val="32"/>
          <w:szCs w:val="32"/>
        </w:rPr>
      </w:pPr>
    </w:p>
    <w:p w:rsidR="00A116B5" w:rsidRDefault="00A116B5">
      <w:pPr>
        <w:widowControl/>
        <w:spacing w:line="560" w:lineRule="atLeast"/>
        <w:jc w:val="center"/>
        <w:rPr>
          <w:rFonts w:ascii="宋体" w:eastAsia="宋体" w:hAnsi="宋体" w:cs="宋体"/>
          <w:b/>
          <w:color w:val="282828"/>
          <w:sz w:val="32"/>
          <w:szCs w:val="32"/>
        </w:rPr>
      </w:pPr>
    </w:p>
    <w:p w:rsidR="00A116B5" w:rsidRDefault="00A116B5">
      <w:pPr>
        <w:widowControl/>
        <w:spacing w:line="560" w:lineRule="atLeast"/>
        <w:jc w:val="center"/>
        <w:rPr>
          <w:rFonts w:ascii="宋体" w:eastAsia="宋体" w:hAnsi="宋体" w:cs="宋体"/>
          <w:b/>
          <w:color w:val="282828"/>
          <w:sz w:val="32"/>
          <w:szCs w:val="32"/>
        </w:rPr>
      </w:pPr>
    </w:p>
    <w:p w:rsidR="00A116B5" w:rsidRDefault="00A116B5">
      <w:pPr>
        <w:widowControl/>
        <w:spacing w:line="560" w:lineRule="atLeast"/>
        <w:jc w:val="center"/>
        <w:rPr>
          <w:rFonts w:ascii="宋体" w:eastAsia="宋体" w:hAnsi="宋体" w:cs="宋体"/>
          <w:b/>
          <w:color w:val="282828"/>
          <w:sz w:val="32"/>
          <w:szCs w:val="32"/>
        </w:rPr>
      </w:pPr>
    </w:p>
    <w:p w:rsidR="00A116B5" w:rsidRDefault="00A116B5">
      <w:pPr>
        <w:widowControl/>
        <w:spacing w:line="560" w:lineRule="atLeast"/>
        <w:jc w:val="center"/>
        <w:rPr>
          <w:rFonts w:ascii="宋体" w:eastAsia="宋体" w:hAnsi="宋体" w:cs="宋体"/>
          <w:b/>
          <w:color w:val="282828"/>
          <w:sz w:val="32"/>
          <w:szCs w:val="32"/>
        </w:rPr>
      </w:pPr>
    </w:p>
    <w:p w:rsidR="00A116B5" w:rsidRDefault="00A116B5">
      <w:pPr>
        <w:widowControl/>
        <w:spacing w:line="560" w:lineRule="atLeast"/>
        <w:jc w:val="center"/>
        <w:rPr>
          <w:rFonts w:ascii="宋体" w:eastAsia="宋体" w:hAnsi="宋体" w:cs="宋体"/>
          <w:b/>
          <w:color w:val="282828"/>
          <w:sz w:val="32"/>
          <w:szCs w:val="32"/>
        </w:rPr>
      </w:pPr>
    </w:p>
    <w:p w:rsidR="00005818" w:rsidRDefault="00005818">
      <w:pPr>
        <w:widowControl/>
        <w:spacing w:line="560" w:lineRule="atLeast"/>
        <w:jc w:val="center"/>
        <w:rPr>
          <w:rFonts w:ascii="宋体" w:eastAsia="宋体" w:hAnsi="宋体" w:cs="宋体"/>
          <w:b/>
          <w:color w:val="282828"/>
          <w:sz w:val="32"/>
          <w:szCs w:val="32"/>
        </w:rPr>
      </w:pPr>
    </w:p>
    <w:p w:rsidR="00005818" w:rsidRDefault="00005818">
      <w:pPr>
        <w:widowControl/>
        <w:spacing w:line="560" w:lineRule="atLeast"/>
        <w:jc w:val="center"/>
        <w:rPr>
          <w:rFonts w:ascii="宋体" w:eastAsia="宋体" w:hAnsi="宋体" w:cs="宋体"/>
          <w:b/>
          <w:color w:val="282828"/>
          <w:sz w:val="32"/>
          <w:szCs w:val="32"/>
        </w:rPr>
      </w:pPr>
    </w:p>
    <w:p w:rsidR="00005818" w:rsidRDefault="00005818">
      <w:pPr>
        <w:widowControl/>
        <w:spacing w:line="560" w:lineRule="atLeast"/>
        <w:jc w:val="center"/>
        <w:rPr>
          <w:rFonts w:ascii="宋体" w:eastAsia="宋体" w:hAnsi="宋体" w:cs="宋体"/>
          <w:b/>
          <w:color w:val="282828"/>
          <w:sz w:val="32"/>
          <w:szCs w:val="32"/>
        </w:rPr>
      </w:pPr>
    </w:p>
    <w:p w:rsidR="00A116B5" w:rsidRDefault="00DC4E44">
      <w:pPr>
        <w:widowControl/>
        <w:spacing w:line="560" w:lineRule="atLeast"/>
        <w:jc w:val="center"/>
        <w:rPr>
          <w:rFonts w:ascii="宋体" w:eastAsia="宋体" w:hAnsi="宋体" w:cs="宋体"/>
          <w:b/>
          <w:color w:val="282828"/>
          <w:sz w:val="32"/>
          <w:szCs w:val="32"/>
        </w:rPr>
      </w:pPr>
      <w:r>
        <w:rPr>
          <w:rFonts w:ascii="宋体" w:eastAsia="宋体" w:hAnsi="宋体" w:cs="宋体" w:hint="eastAsia"/>
          <w:b/>
          <w:color w:val="282828"/>
          <w:sz w:val="32"/>
          <w:szCs w:val="32"/>
        </w:rPr>
        <w:lastRenderedPageBreak/>
        <w:t xml:space="preserve">第二部分  </w:t>
      </w:r>
      <w:r>
        <w:rPr>
          <w:rFonts w:ascii="宋体" w:eastAsia="宋体" w:hAnsi="宋体" w:cs="宋体" w:hint="eastAsia"/>
          <w:b/>
          <w:bCs/>
          <w:color w:val="282828"/>
          <w:sz w:val="32"/>
          <w:szCs w:val="32"/>
        </w:rPr>
        <w:t>梅州市公共资源交易中心</w:t>
      </w:r>
      <w:r>
        <w:rPr>
          <w:rFonts w:ascii="宋体" w:eastAsia="宋体" w:hAnsi="宋体" w:cs="宋体" w:hint="eastAsia"/>
          <w:b/>
          <w:color w:val="282828"/>
          <w:sz w:val="32"/>
          <w:szCs w:val="32"/>
        </w:rPr>
        <w:t>2015 年度部门决算</w:t>
      </w:r>
    </w:p>
    <w:p w:rsidR="00A116B5" w:rsidRDefault="00A116B5">
      <w:pPr>
        <w:widowControl/>
        <w:spacing w:line="560" w:lineRule="atLeast"/>
        <w:rPr>
          <w:rFonts w:ascii="宋体" w:eastAsia="宋体" w:hAnsi="宋体" w:cs="宋体"/>
          <w:b/>
          <w:color w:val="282828"/>
          <w:sz w:val="32"/>
          <w:szCs w:val="32"/>
        </w:rPr>
      </w:pPr>
    </w:p>
    <w:p w:rsidR="00A116B5" w:rsidRDefault="00F90514">
      <w:pPr>
        <w:widowControl/>
        <w:spacing w:line="560" w:lineRule="atLeast"/>
        <w:rPr>
          <w:rFonts w:ascii="宋体" w:eastAsia="宋体" w:hAnsi="宋体" w:cs="宋体"/>
          <w:b/>
          <w:color w:val="282828"/>
          <w:sz w:val="32"/>
          <w:szCs w:val="32"/>
        </w:rPr>
      </w:pPr>
      <w:r>
        <w:rPr>
          <w:rFonts w:eastAsia="Calibri"/>
          <w:noProof/>
        </w:rPr>
        <w:pict>
          <v:rect id="_x0000_s1031" style="position:absolute;left:0;text-align:left;margin-left:0;margin-top:0;width:50pt;height:50pt;z-index:251658240;visibility:hidden" o:preferrelative="t">
            <v:stroke joinstyle="round"/>
            <o:lock v:ext="edit" selection="t"/>
          </v:rect>
        </w:pict>
      </w:r>
      <w:r w:rsidR="00DC4E44">
        <w:rPr>
          <w:noProof/>
        </w:rPr>
        <w:object w:dxaOrig="18165" w:dyaOrig="15660">
          <v:rect id="OLE 对象1" o:spid="_x0000_i1025" style="width:494.25pt;height:447pt;visibility:visible;mso-wrap-style:square;mso-wrap-distance-left:9pt;mso-wrap-distance-top:0;mso-wrap-distance-right:9pt;mso-wrap-distance-bottom:0" o:ole="" o:preferrelative="t" filled="f" stroked="f">
            <v:imagedata r:id="rId5" o:title="image1"/>
          </v:rect>
          <o:OLEObject Type="Embed" ProgID="Excel.Sheet.8" ShapeID="OLE 对象1" DrawAspect="Content" ObjectID="_1539156297" r:id="rId6"/>
        </w:object>
      </w:r>
    </w:p>
    <w:p w:rsidR="00A116B5" w:rsidRDefault="00DC4E44">
      <w:pPr>
        <w:widowControl/>
        <w:spacing w:line="560" w:lineRule="atLeast"/>
        <w:rPr>
          <w:rFonts w:hint="eastAsia"/>
          <w:noProof/>
        </w:rPr>
      </w:pPr>
      <w:r>
        <w:rPr>
          <w:noProof/>
        </w:rPr>
        <w:object w:dxaOrig="15975" w:dyaOrig="10800">
          <v:rect id="OLE 对象2" o:spid="_x0000_i1026" style="width:478.5pt;height:285.75pt;visibility:visible;mso-wrap-style:square;mso-wrap-distance-left:9pt;mso-wrap-distance-top:0;mso-wrap-distance-right:9pt;mso-wrap-distance-bottom:0" o:ole="" o:preferrelative="t" filled="f" stroked="f">
            <v:imagedata r:id="rId7" o:title="image2"/>
          </v:rect>
          <o:OLEObject Type="Embed" ProgID="Excel.Sheet.8" ShapeID="OLE 对象2" DrawAspect="Content" ObjectID="_1539156298" r:id="rId8"/>
        </w:object>
      </w:r>
      <w:r>
        <w:rPr>
          <w:noProof/>
        </w:rPr>
        <w:object w:dxaOrig="16440" w:dyaOrig="11520">
          <v:rect id="OLE 对象3" o:spid="_x0000_i1027" style="width:551.25pt;height:329.25pt;visibility:visible;mso-wrap-style:square;mso-wrap-distance-left:9pt;mso-wrap-distance-top:0;mso-wrap-distance-right:9pt;mso-wrap-distance-bottom:0" o:ole="" o:preferrelative="t" filled="f" stroked="f">
            <v:imagedata r:id="rId9" o:title="image3"/>
          </v:rect>
          <o:OLEObject Type="Embed" ProgID="Excel.Sheet.8" ShapeID="OLE 对象3" DrawAspect="Content" ObjectID="_1539156299" r:id="rId10"/>
        </w:object>
      </w:r>
      <w:r>
        <w:rPr>
          <w:noProof/>
        </w:rPr>
        <w:object w:dxaOrig="19020" w:dyaOrig="13770">
          <v:rect id="OLE 对象4" o:spid="_x0000_i1028" style="width:539.25pt;height:354.75pt;visibility:visible;mso-wrap-style:square;mso-wrap-distance-left:9pt;mso-wrap-distance-top:0;mso-wrap-distance-right:9pt;mso-wrap-distance-bottom:0" o:ole="" o:preferrelative="t" filled="f" stroked="f">
            <v:imagedata r:id="rId11" o:title="image4"/>
          </v:rect>
          <o:OLEObject Type="Embed" ProgID="Excel.Sheet.8" ShapeID="OLE 对象4" DrawAspect="Content" ObjectID="_1539156300" r:id="rId12"/>
        </w:object>
      </w:r>
    </w:p>
    <w:p w:rsidR="00B84BBB" w:rsidRDefault="00B84BBB">
      <w:pPr>
        <w:widowControl/>
        <w:spacing w:line="560" w:lineRule="atLeast"/>
        <w:rPr>
          <w:rFonts w:ascii="宋体" w:eastAsia="宋体" w:hAnsi="宋体" w:cs="宋体"/>
          <w:b/>
          <w:color w:val="282828"/>
          <w:sz w:val="32"/>
          <w:szCs w:val="32"/>
        </w:rPr>
      </w:pPr>
      <w:r>
        <w:rPr>
          <w:rFonts w:ascii="宋体" w:eastAsia="宋体" w:hAnsi="宋体" w:cs="宋体"/>
          <w:b/>
          <w:color w:val="282828"/>
          <w:sz w:val="32"/>
          <w:szCs w:val="32"/>
        </w:rPr>
        <w:object w:dxaOrig="14952" w:dyaOrig="1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5pt;height:5in" o:ole="">
            <v:imagedata r:id="rId13" o:title=""/>
          </v:shape>
          <o:OLEObject Type="Embed" ProgID="Excel.Sheet.8" ShapeID="_x0000_i1031" DrawAspect="Content" ObjectID="_1539156301" r:id="rId14"/>
        </w:object>
      </w:r>
    </w:p>
    <w:p w:rsidR="00A116B5" w:rsidRDefault="00B84BBB">
      <w:pPr>
        <w:widowControl/>
        <w:spacing w:line="560" w:lineRule="atLeast"/>
        <w:rPr>
          <w:rFonts w:ascii="宋体" w:eastAsia="宋体" w:hAnsi="宋体" w:cs="宋体"/>
          <w:b/>
          <w:color w:val="282828"/>
          <w:sz w:val="32"/>
          <w:szCs w:val="32"/>
        </w:rPr>
      </w:pPr>
      <w:r>
        <w:rPr>
          <w:rFonts w:ascii="宋体" w:eastAsia="宋体" w:hAnsi="宋体" w:cs="宋体"/>
          <w:b/>
          <w:color w:val="282828"/>
          <w:sz w:val="32"/>
          <w:szCs w:val="32"/>
        </w:rPr>
        <w:object w:dxaOrig="15608" w:dyaOrig="11682">
          <v:shape id="_x0000_i1037" type="#_x0000_t75" style="width:500.25pt;height:374.25pt" o:ole="">
            <v:imagedata r:id="rId15" o:title=""/>
          </v:shape>
          <o:OLEObject Type="Embed" ProgID="Excel.Sheet.8" ShapeID="_x0000_i1037" DrawAspect="Content" ObjectID="_1539156302" r:id="rId16"/>
        </w:object>
      </w:r>
    </w:p>
    <w:tbl>
      <w:tblPr>
        <w:tblW w:w="9780" w:type="dxa"/>
        <w:tblInd w:w="93" w:type="dxa"/>
        <w:tblLook w:val="04A0" w:firstRow="1" w:lastRow="0" w:firstColumn="1" w:lastColumn="0" w:noHBand="0" w:noVBand="1"/>
      </w:tblPr>
      <w:tblGrid>
        <w:gridCol w:w="724"/>
        <w:gridCol w:w="552"/>
        <w:gridCol w:w="582"/>
        <w:gridCol w:w="567"/>
        <w:gridCol w:w="375"/>
        <w:gridCol w:w="30"/>
        <w:gridCol w:w="729"/>
        <w:gridCol w:w="87"/>
        <w:gridCol w:w="300"/>
        <w:gridCol w:w="56"/>
        <w:gridCol w:w="232"/>
        <w:gridCol w:w="336"/>
        <w:gridCol w:w="191"/>
        <w:gridCol w:w="422"/>
        <w:gridCol w:w="317"/>
        <w:gridCol w:w="299"/>
        <w:gridCol w:w="720"/>
        <w:gridCol w:w="96"/>
        <w:gridCol w:w="299"/>
        <w:gridCol w:w="323"/>
        <w:gridCol w:w="226"/>
        <w:gridCol w:w="57"/>
        <w:gridCol w:w="504"/>
        <w:gridCol w:w="855"/>
        <w:gridCol w:w="55"/>
        <w:gridCol w:w="846"/>
      </w:tblGrid>
      <w:tr w:rsidR="00921D7F" w:rsidRPr="00921D7F" w:rsidTr="00951E8E">
        <w:trPr>
          <w:trHeight w:val="450"/>
        </w:trPr>
        <w:tc>
          <w:tcPr>
            <w:tcW w:w="9780" w:type="dxa"/>
            <w:gridSpan w:val="26"/>
            <w:tcBorders>
              <w:top w:val="nil"/>
              <w:left w:val="nil"/>
              <w:bottom w:val="nil"/>
              <w:right w:val="nil"/>
            </w:tcBorders>
            <w:shd w:val="clear" w:color="000000" w:fill="FFFFFF"/>
            <w:vAlign w:val="center"/>
            <w:hideMark/>
          </w:tcPr>
          <w:p w:rsidR="00921D7F" w:rsidRPr="00921D7F" w:rsidRDefault="00921D7F" w:rsidP="00921D7F">
            <w:pPr>
              <w:widowControl/>
              <w:jc w:val="center"/>
              <w:rPr>
                <w:rFonts w:ascii="华文中宋" w:eastAsia="华文中宋" w:hAnsi="华文中宋" w:cs="宋体"/>
                <w:kern w:val="0"/>
                <w:sz w:val="32"/>
                <w:szCs w:val="32"/>
              </w:rPr>
            </w:pPr>
            <w:bookmarkStart w:id="0" w:name="RANGE!A1:L9"/>
            <w:r w:rsidRPr="00921D7F">
              <w:rPr>
                <w:rFonts w:ascii="华文中宋" w:eastAsia="华文中宋" w:hAnsi="华文中宋" w:cs="宋体" w:hint="eastAsia"/>
                <w:kern w:val="0"/>
                <w:sz w:val="32"/>
                <w:szCs w:val="32"/>
              </w:rPr>
              <w:t>一般公共预算财政拨款“三公”经费支出决算表</w:t>
            </w:r>
            <w:bookmarkEnd w:id="0"/>
          </w:p>
        </w:tc>
      </w:tr>
      <w:tr w:rsidR="00921D7F" w:rsidRPr="00921D7F" w:rsidTr="00E8608B">
        <w:trPr>
          <w:trHeight w:val="222"/>
        </w:trPr>
        <w:tc>
          <w:tcPr>
            <w:tcW w:w="2830" w:type="dxa"/>
            <w:gridSpan w:val="6"/>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816" w:type="dxa"/>
            <w:gridSpan w:val="2"/>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p>
        </w:tc>
        <w:tc>
          <w:tcPr>
            <w:tcW w:w="356" w:type="dxa"/>
            <w:gridSpan w:val="2"/>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232" w:type="dxa"/>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336" w:type="dxa"/>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613" w:type="dxa"/>
            <w:gridSpan w:val="2"/>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616" w:type="dxa"/>
            <w:gridSpan w:val="2"/>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1115" w:type="dxa"/>
            <w:gridSpan w:val="3"/>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606" w:type="dxa"/>
            <w:gridSpan w:val="3"/>
            <w:tcBorders>
              <w:top w:val="nil"/>
              <w:left w:val="nil"/>
              <w:bottom w:val="nil"/>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2260" w:type="dxa"/>
            <w:gridSpan w:val="4"/>
            <w:tcBorders>
              <w:top w:val="nil"/>
              <w:left w:val="nil"/>
              <w:bottom w:val="nil"/>
            </w:tcBorders>
            <w:shd w:val="clear" w:color="000000" w:fill="FFFFFF"/>
            <w:vAlign w:val="center"/>
          </w:tcPr>
          <w:p w:rsidR="00921D7F" w:rsidRPr="00921D7F" w:rsidRDefault="00921D7F" w:rsidP="00921D7F">
            <w:pPr>
              <w:widowControl/>
              <w:jc w:val="right"/>
              <w:rPr>
                <w:rFonts w:ascii="宋体" w:eastAsia="宋体" w:hAnsi="宋体" w:cs="宋体"/>
                <w:color w:val="000000"/>
                <w:kern w:val="0"/>
                <w:sz w:val="20"/>
                <w:szCs w:val="20"/>
              </w:rPr>
            </w:pPr>
          </w:p>
        </w:tc>
      </w:tr>
      <w:tr w:rsidR="00921D7F" w:rsidRPr="00921D7F" w:rsidTr="00E8608B">
        <w:trPr>
          <w:trHeight w:val="300"/>
        </w:trPr>
        <w:tc>
          <w:tcPr>
            <w:tcW w:w="3646" w:type="dxa"/>
            <w:gridSpan w:val="8"/>
            <w:tcBorders>
              <w:top w:val="nil"/>
              <w:left w:val="nil"/>
              <w:bottom w:val="nil"/>
              <w:right w:val="nil"/>
            </w:tcBorders>
            <w:shd w:val="clear" w:color="000000" w:fill="FFFFFF"/>
            <w:noWrap/>
            <w:vAlign w:val="center"/>
            <w:hideMark/>
          </w:tcPr>
          <w:p w:rsidR="00921D7F" w:rsidRPr="00921D7F" w:rsidRDefault="00921D7F" w:rsidP="00921D7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部门：梅州市公共资源交易中</w:t>
            </w:r>
            <w:r w:rsidRPr="00921D7F">
              <w:rPr>
                <w:rFonts w:ascii="宋体" w:eastAsia="宋体" w:hAnsi="宋体" w:cs="宋体" w:hint="eastAsia"/>
                <w:color w:val="000000"/>
                <w:kern w:val="0"/>
                <w:sz w:val="20"/>
                <w:szCs w:val="20"/>
              </w:rPr>
              <w:t>心</w:t>
            </w:r>
          </w:p>
        </w:tc>
        <w:tc>
          <w:tcPr>
            <w:tcW w:w="356" w:type="dxa"/>
            <w:gridSpan w:val="2"/>
            <w:tcBorders>
              <w:top w:val="nil"/>
              <w:left w:val="nil"/>
              <w:bottom w:val="single" w:sz="8" w:space="0" w:color="auto"/>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232" w:type="dxa"/>
            <w:tcBorders>
              <w:top w:val="nil"/>
              <w:left w:val="nil"/>
              <w:bottom w:val="single" w:sz="8" w:space="0" w:color="auto"/>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336" w:type="dxa"/>
            <w:tcBorders>
              <w:top w:val="nil"/>
              <w:left w:val="nil"/>
              <w:bottom w:val="single" w:sz="8" w:space="0" w:color="auto"/>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613" w:type="dxa"/>
            <w:gridSpan w:val="2"/>
            <w:tcBorders>
              <w:top w:val="nil"/>
              <w:left w:val="nil"/>
              <w:bottom w:val="single" w:sz="8" w:space="0" w:color="auto"/>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616" w:type="dxa"/>
            <w:gridSpan w:val="2"/>
            <w:tcBorders>
              <w:top w:val="nil"/>
              <w:left w:val="nil"/>
              <w:bottom w:val="single" w:sz="8" w:space="0" w:color="auto"/>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1115" w:type="dxa"/>
            <w:gridSpan w:val="3"/>
            <w:tcBorders>
              <w:top w:val="nil"/>
              <w:left w:val="nil"/>
              <w:bottom w:val="single" w:sz="8" w:space="0" w:color="auto"/>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606" w:type="dxa"/>
            <w:gridSpan w:val="3"/>
            <w:tcBorders>
              <w:top w:val="nil"/>
              <w:left w:val="nil"/>
              <w:bottom w:val="single" w:sz="8" w:space="0" w:color="auto"/>
              <w:right w:val="nil"/>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p>
        </w:tc>
        <w:tc>
          <w:tcPr>
            <w:tcW w:w="2260" w:type="dxa"/>
            <w:gridSpan w:val="4"/>
            <w:tcBorders>
              <w:top w:val="nil"/>
              <w:left w:val="nil"/>
              <w:bottom w:val="single" w:sz="8" w:space="0" w:color="auto"/>
            </w:tcBorders>
            <w:shd w:val="clear" w:color="000000" w:fill="FFFFFF"/>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r>
              <w:rPr>
                <w:rFonts w:ascii="宋体" w:eastAsia="宋体" w:hAnsi="宋体" w:cs="宋体" w:hint="eastAsia"/>
                <w:kern w:val="0"/>
                <w:sz w:val="20"/>
                <w:szCs w:val="20"/>
              </w:rPr>
              <w:t>公开07表</w:t>
            </w:r>
          </w:p>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 xml:space="preserve">　</w:t>
            </w:r>
            <w:r w:rsidRPr="00921D7F">
              <w:rPr>
                <w:rFonts w:ascii="宋体" w:eastAsia="宋体" w:hAnsi="宋体" w:cs="宋体" w:hint="eastAsia"/>
                <w:color w:val="000000"/>
                <w:kern w:val="0"/>
                <w:sz w:val="20"/>
                <w:szCs w:val="20"/>
              </w:rPr>
              <w:t>单位：万元</w:t>
            </w:r>
          </w:p>
        </w:tc>
      </w:tr>
      <w:tr w:rsidR="00921D7F" w:rsidRPr="00921D7F" w:rsidTr="00E8608B">
        <w:trPr>
          <w:trHeight w:val="559"/>
        </w:trPr>
        <w:tc>
          <w:tcPr>
            <w:tcW w:w="5183" w:type="dxa"/>
            <w:gridSpan w:val="14"/>
            <w:tcBorders>
              <w:top w:val="single" w:sz="8" w:space="0" w:color="auto"/>
              <w:left w:val="single" w:sz="8" w:space="0" w:color="auto"/>
              <w:bottom w:val="single" w:sz="4" w:space="0" w:color="auto"/>
              <w:right w:val="single" w:sz="4" w:space="0" w:color="000000"/>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2015年度预算数</w:t>
            </w:r>
          </w:p>
        </w:tc>
        <w:tc>
          <w:tcPr>
            <w:tcW w:w="4597" w:type="dxa"/>
            <w:gridSpan w:val="12"/>
            <w:tcBorders>
              <w:top w:val="single" w:sz="8" w:space="0" w:color="auto"/>
              <w:left w:val="nil"/>
              <w:bottom w:val="single" w:sz="4" w:space="0" w:color="auto"/>
              <w:right w:val="single" w:sz="8" w:space="0" w:color="000000"/>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2015年度决算数</w:t>
            </w:r>
          </w:p>
        </w:tc>
      </w:tr>
      <w:tr w:rsidR="00921D7F" w:rsidRPr="00921D7F" w:rsidTr="00E8608B">
        <w:trPr>
          <w:trHeight w:val="600"/>
        </w:trPr>
        <w:tc>
          <w:tcPr>
            <w:tcW w:w="724" w:type="dxa"/>
            <w:vMerge w:val="restart"/>
            <w:tcBorders>
              <w:top w:val="nil"/>
              <w:left w:val="single" w:sz="8" w:space="0" w:color="auto"/>
              <w:bottom w:val="single" w:sz="4" w:space="0" w:color="000000"/>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合计</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因公出国（境）费</w:t>
            </w:r>
          </w:p>
        </w:tc>
        <w:tc>
          <w:tcPr>
            <w:tcW w:w="2712" w:type="dxa"/>
            <w:gridSpan w:val="9"/>
            <w:tcBorders>
              <w:top w:val="single" w:sz="4" w:space="0" w:color="auto"/>
              <w:left w:val="nil"/>
              <w:bottom w:val="single" w:sz="4" w:space="0" w:color="auto"/>
              <w:right w:val="single" w:sz="4" w:space="0" w:color="000000"/>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公务用车购置及运行费</w:t>
            </w:r>
          </w:p>
        </w:tc>
        <w:tc>
          <w:tcPr>
            <w:tcW w:w="6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公务接待费</w:t>
            </w:r>
          </w:p>
        </w:tc>
        <w:tc>
          <w:tcPr>
            <w:tcW w:w="616" w:type="dxa"/>
            <w:gridSpan w:val="2"/>
            <w:vMerge w:val="restart"/>
            <w:tcBorders>
              <w:top w:val="nil"/>
              <w:left w:val="nil"/>
              <w:bottom w:val="single" w:sz="4" w:space="0" w:color="000000"/>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合计</w:t>
            </w:r>
          </w:p>
        </w:tc>
        <w:tc>
          <w:tcPr>
            <w:tcW w:w="8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因公出国（境）费</w:t>
            </w:r>
          </w:p>
        </w:tc>
        <w:tc>
          <w:tcPr>
            <w:tcW w:w="2319" w:type="dxa"/>
            <w:gridSpan w:val="7"/>
            <w:tcBorders>
              <w:top w:val="single" w:sz="4" w:space="0" w:color="auto"/>
              <w:left w:val="nil"/>
              <w:bottom w:val="single" w:sz="4" w:space="0" w:color="auto"/>
              <w:right w:val="single" w:sz="4" w:space="0" w:color="000000"/>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公务用车购置及运行费</w:t>
            </w:r>
          </w:p>
        </w:tc>
        <w:tc>
          <w:tcPr>
            <w:tcW w:w="846" w:type="dxa"/>
            <w:vMerge w:val="restart"/>
            <w:tcBorders>
              <w:top w:val="nil"/>
              <w:left w:val="single" w:sz="4" w:space="0" w:color="auto"/>
              <w:bottom w:val="single" w:sz="4" w:space="0" w:color="000000"/>
              <w:right w:val="single" w:sz="8"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公务接待费</w:t>
            </w:r>
          </w:p>
        </w:tc>
      </w:tr>
      <w:tr w:rsidR="00921D7F" w:rsidRPr="00921D7F" w:rsidTr="00E8608B">
        <w:trPr>
          <w:trHeight w:val="1253"/>
        </w:trPr>
        <w:tc>
          <w:tcPr>
            <w:tcW w:w="724" w:type="dxa"/>
            <w:vMerge/>
            <w:tcBorders>
              <w:top w:val="nil"/>
              <w:left w:val="single" w:sz="8" w:space="0" w:color="auto"/>
              <w:bottom w:val="single" w:sz="4" w:space="0" w:color="000000"/>
              <w:right w:val="single" w:sz="4" w:space="0" w:color="auto"/>
            </w:tcBorders>
            <w:vAlign w:val="center"/>
            <w:hideMark/>
          </w:tcPr>
          <w:p w:rsidR="00921D7F" w:rsidRPr="00921D7F" w:rsidRDefault="00921D7F" w:rsidP="00921D7F">
            <w:pPr>
              <w:widowControl/>
              <w:jc w:val="left"/>
              <w:rPr>
                <w:rFonts w:ascii="宋体" w:eastAsia="宋体" w:hAnsi="宋体" w:cs="宋体"/>
                <w:kern w:val="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21D7F" w:rsidRPr="00921D7F" w:rsidRDefault="00921D7F" w:rsidP="00921D7F">
            <w:pPr>
              <w:widowControl/>
              <w:jc w:val="left"/>
              <w:rPr>
                <w:rFonts w:ascii="宋体" w:eastAsia="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小计</w:t>
            </w:r>
          </w:p>
        </w:tc>
        <w:tc>
          <w:tcPr>
            <w:tcW w:w="1134" w:type="dxa"/>
            <w:gridSpan w:val="3"/>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公务用车</w:t>
            </w:r>
            <w:r w:rsidRPr="00921D7F">
              <w:rPr>
                <w:rFonts w:ascii="宋体" w:eastAsia="宋体" w:hAnsi="宋体" w:cs="宋体" w:hint="eastAsia"/>
                <w:kern w:val="0"/>
                <w:sz w:val="20"/>
                <w:szCs w:val="20"/>
              </w:rPr>
              <w:br/>
              <w:t>购置费</w:t>
            </w:r>
          </w:p>
        </w:tc>
        <w:tc>
          <w:tcPr>
            <w:tcW w:w="1011" w:type="dxa"/>
            <w:gridSpan w:val="5"/>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公务用车</w:t>
            </w:r>
            <w:r w:rsidRPr="00921D7F">
              <w:rPr>
                <w:rFonts w:ascii="宋体" w:eastAsia="宋体" w:hAnsi="宋体" w:cs="宋体" w:hint="eastAsia"/>
                <w:kern w:val="0"/>
                <w:sz w:val="20"/>
                <w:szCs w:val="20"/>
              </w:rPr>
              <w:br/>
              <w:t>运行费</w:t>
            </w:r>
          </w:p>
        </w:tc>
        <w:tc>
          <w:tcPr>
            <w:tcW w:w="613" w:type="dxa"/>
            <w:gridSpan w:val="2"/>
            <w:vMerge/>
            <w:tcBorders>
              <w:top w:val="nil"/>
              <w:left w:val="single" w:sz="4" w:space="0" w:color="auto"/>
              <w:bottom w:val="single" w:sz="4" w:space="0" w:color="auto"/>
              <w:right w:val="single" w:sz="4" w:space="0" w:color="auto"/>
            </w:tcBorders>
            <w:vAlign w:val="center"/>
            <w:hideMark/>
          </w:tcPr>
          <w:p w:rsidR="00921D7F" w:rsidRPr="00921D7F" w:rsidRDefault="00921D7F" w:rsidP="00921D7F">
            <w:pPr>
              <w:widowControl/>
              <w:jc w:val="left"/>
              <w:rPr>
                <w:rFonts w:ascii="宋体" w:eastAsia="宋体" w:hAnsi="宋体" w:cs="宋体"/>
                <w:kern w:val="0"/>
                <w:sz w:val="20"/>
                <w:szCs w:val="20"/>
              </w:rPr>
            </w:pPr>
          </w:p>
        </w:tc>
        <w:tc>
          <w:tcPr>
            <w:tcW w:w="616" w:type="dxa"/>
            <w:gridSpan w:val="2"/>
            <w:vMerge/>
            <w:tcBorders>
              <w:top w:val="nil"/>
              <w:left w:val="nil"/>
              <w:bottom w:val="single" w:sz="4" w:space="0" w:color="000000"/>
              <w:right w:val="single" w:sz="4" w:space="0" w:color="auto"/>
            </w:tcBorders>
            <w:vAlign w:val="center"/>
            <w:hideMark/>
          </w:tcPr>
          <w:p w:rsidR="00921D7F" w:rsidRPr="00921D7F" w:rsidRDefault="00921D7F" w:rsidP="00921D7F">
            <w:pPr>
              <w:widowControl/>
              <w:jc w:val="left"/>
              <w:rPr>
                <w:rFonts w:ascii="宋体" w:eastAsia="宋体" w:hAnsi="宋体" w:cs="宋体"/>
                <w:kern w:val="0"/>
                <w:sz w:val="20"/>
                <w:szCs w:val="20"/>
              </w:rPr>
            </w:pPr>
          </w:p>
        </w:tc>
        <w:tc>
          <w:tcPr>
            <w:tcW w:w="816" w:type="dxa"/>
            <w:gridSpan w:val="2"/>
            <w:vMerge/>
            <w:tcBorders>
              <w:top w:val="nil"/>
              <w:left w:val="single" w:sz="4" w:space="0" w:color="auto"/>
              <w:bottom w:val="single" w:sz="4" w:space="0" w:color="000000"/>
              <w:right w:val="single" w:sz="4" w:space="0" w:color="auto"/>
            </w:tcBorders>
            <w:vAlign w:val="center"/>
            <w:hideMark/>
          </w:tcPr>
          <w:p w:rsidR="00921D7F" w:rsidRPr="00921D7F" w:rsidRDefault="00921D7F" w:rsidP="00921D7F">
            <w:pPr>
              <w:widowControl/>
              <w:jc w:val="left"/>
              <w:rPr>
                <w:rFonts w:ascii="宋体" w:eastAsia="宋体" w:hAnsi="宋体" w:cs="宋体"/>
                <w:kern w:val="0"/>
                <w:sz w:val="20"/>
                <w:szCs w:val="20"/>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小计</w:t>
            </w:r>
          </w:p>
        </w:tc>
        <w:tc>
          <w:tcPr>
            <w:tcW w:w="787" w:type="dxa"/>
            <w:gridSpan w:val="3"/>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公务用车</w:t>
            </w:r>
            <w:r w:rsidRPr="00921D7F">
              <w:rPr>
                <w:rFonts w:ascii="宋体" w:eastAsia="宋体" w:hAnsi="宋体" w:cs="宋体" w:hint="eastAsia"/>
                <w:kern w:val="0"/>
                <w:sz w:val="20"/>
                <w:szCs w:val="20"/>
              </w:rPr>
              <w:br/>
              <w:t>购置费</w:t>
            </w:r>
          </w:p>
        </w:tc>
        <w:tc>
          <w:tcPr>
            <w:tcW w:w="910" w:type="dxa"/>
            <w:gridSpan w:val="2"/>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公务用车</w:t>
            </w:r>
            <w:r w:rsidRPr="00921D7F">
              <w:rPr>
                <w:rFonts w:ascii="宋体" w:eastAsia="宋体" w:hAnsi="宋体" w:cs="宋体" w:hint="eastAsia"/>
                <w:kern w:val="0"/>
                <w:sz w:val="20"/>
                <w:szCs w:val="20"/>
              </w:rPr>
              <w:br/>
              <w:t>运行费</w:t>
            </w:r>
          </w:p>
        </w:tc>
        <w:tc>
          <w:tcPr>
            <w:tcW w:w="846" w:type="dxa"/>
            <w:vMerge/>
            <w:tcBorders>
              <w:top w:val="nil"/>
              <w:left w:val="single" w:sz="4" w:space="0" w:color="auto"/>
              <w:bottom w:val="single" w:sz="4" w:space="0" w:color="000000"/>
              <w:right w:val="single" w:sz="8" w:space="0" w:color="auto"/>
            </w:tcBorders>
            <w:vAlign w:val="center"/>
            <w:hideMark/>
          </w:tcPr>
          <w:p w:rsidR="00921D7F" w:rsidRPr="00921D7F" w:rsidRDefault="00921D7F" w:rsidP="00921D7F">
            <w:pPr>
              <w:widowControl/>
              <w:jc w:val="left"/>
              <w:rPr>
                <w:rFonts w:ascii="宋体" w:eastAsia="宋体" w:hAnsi="宋体" w:cs="宋体"/>
                <w:kern w:val="0"/>
                <w:sz w:val="20"/>
                <w:szCs w:val="20"/>
              </w:rPr>
            </w:pPr>
          </w:p>
        </w:tc>
      </w:tr>
      <w:tr w:rsidR="00921D7F" w:rsidRPr="00921D7F" w:rsidTr="00E8608B">
        <w:trPr>
          <w:trHeight w:val="559"/>
        </w:trPr>
        <w:tc>
          <w:tcPr>
            <w:tcW w:w="724" w:type="dxa"/>
            <w:tcBorders>
              <w:top w:val="nil"/>
              <w:left w:val="single" w:sz="8" w:space="0" w:color="auto"/>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3</w:t>
            </w:r>
          </w:p>
        </w:tc>
        <w:tc>
          <w:tcPr>
            <w:tcW w:w="1134" w:type="dxa"/>
            <w:gridSpan w:val="3"/>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4</w:t>
            </w:r>
          </w:p>
        </w:tc>
        <w:tc>
          <w:tcPr>
            <w:tcW w:w="1011" w:type="dxa"/>
            <w:gridSpan w:val="5"/>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5</w:t>
            </w:r>
          </w:p>
        </w:tc>
        <w:tc>
          <w:tcPr>
            <w:tcW w:w="613" w:type="dxa"/>
            <w:gridSpan w:val="2"/>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6</w:t>
            </w:r>
          </w:p>
        </w:tc>
        <w:tc>
          <w:tcPr>
            <w:tcW w:w="616" w:type="dxa"/>
            <w:gridSpan w:val="2"/>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7</w:t>
            </w:r>
          </w:p>
        </w:tc>
        <w:tc>
          <w:tcPr>
            <w:tcW w:w="816" w:type="dxa"/>
            <w:gridSpan w:val="2"/>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8</w:t>
            </w:r>
          </w:p>
        </w:tc>
        <w:tc>
          <w:tcPr>
            <w:tcW w:w="622" w:type="dxa"/>
            <w:gridSpan w:val="2"/>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9</w:t>
            </w:r>
          </w:p>
        </w:tc>
        <w:tc>
          <w:tcPr>
            <w:tcW w:w="787" w:type="dxa"/>
            <w:gridSpan w:val="3"/>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10</w:t>
            </w:r>
          </w:p>
        </w:tc>
        <w:tc>
          <w:tcPr>
            <w:tcW w:w="910" w:type="dxa"/>
            <w:gridSpan w:val="2"/>
            <w:tcBorders>
              <w:top w:val="nil"/>
              <w:left w:val="nil"/>
              <w:bottom w:val="single" w:sz="4" w:space="0" w:color="auto"/>
              <w:right w:val="single" w:sz="4"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11</w:t>
            </w:r>
          </w:p>
        </w:tc>
        <w:tc>
          <w:tcPr>
            <w:tcW w:w="846" w:type="dxa"/>
            <w:tcBorders>
              <w:top w:val="nil"/>
              <w:left w:val="nil"/>
              <w:bottom w:val="single" w:sz="4" w:space="0" w:color="auto"/>
              <w:right w:val="single" w:sz="8" w:space="0" w:color="auto"/>
            </w:tcBorders>
            <w:shd w:val="clear" w:color="auto" w:fill="auto"/>
            <w:vAlign w:val="center"/>
            <w:hideMark/>
          </w:tcPr>
          <w:p w:rsidR="00921D7F" w:rsidRPr="00921D7F" w:rsidRDefault="00921D7F" w:rsidP="00921D7F">
            <w:pPr>
              <w:widowControl/>
              <w:jc w:val="center"/>
              <w:rPr>
                <w:rFonts w:ascii="宋体" w:eastAsia="宋体" w:hAnsi="宋体" w:cs="宋体"/>
                <w:kern w:val="0"/>
                <w:sz w:val="20"/>
                <w:szCs w:val="20"/>
              </w:rPr>
            </w:pPr>
            <w:r w:rsidRPr="00921D7F">
              <w:rPr>
                <w:rFonts w:ascii="宋体" w:eastAsia="宋体" w:hAnsi="宋体" w:cs="宋体" w:hint="eastAsia"/>
                <w:kern w:val="0"/>
                <w:sz w:val="20"/>
                <w:szCs w:val="20"/>
              </w:rPr>
              <w:t>12</w:t>
            </w:r>
          </w:p>
        </w:tc>
      </w:tr>
      <w:tr w:rsidR="00921D7F" w:rsidRPr="00921D7F" w:rsidTr="00E8608B">
        <w:trPr>
          <w:trHeight w:val="855"/>
        </w:trPr>
        <w:tc>
          <w:tcPr>
            <w:tcW w:w="724" w:type="dxa"/>
            <w:tcBorders>
              <w:top w:val="nil"/>
              <w:left w:val="single" w:sz="8" w:space="0" w:color="auto"/>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c>
          <w:tcPr>
            <w:tcW w:w="567" w:type="dxa"/>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c>
          <w:tcPr>
            <w:tcW w:w="1134" w:type="dxa"/>
            <w:gridSpan w:val="3"/>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c>
          <w:tcPr>
            <w:tcW w:w="1011" w:type="dxa"/>
            <w:gridSpan w:val="5"/>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c>
          <w:tcPr>
            <w:tcW w:w="613" w:type="dxa"/>
            <w:gridSpan w:val="2"/>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c>
          <w:tcPr>
            <w:tcW w:w="616" w:type="dxa"/>
            <w:gridSpan w:val="2"/>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1.92</w:t>
            </w:r>
          </w:p>
        </w:tc>
        <w:tc>
          <w:tcPr>
            <w:tcW w:w="816" w:type="dxa"/>
            <w:gridSpan w:val="2"/>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c>
          <w:tcPr>
            <w:tcW w:w="622" w:type="dxa"/>
            <w:gridSpan w:val="2"/>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1.92</w:t>
            </w:r>
          </w:p>
        </w:tc>
        <w:tc>
          <w:tcPr>
            <w:tcW w:w="787" w:type="dxa"/>
            <w:gridSpan w:val="3"/>
            <w:tcBorders>
              <w:top w:val="nil"/>
              <w:left w:val="nil"/>
              <w:bottom w:val="single" w:sz="8" w:space="0" w:color="auto"/>
              <w:right w:val="single" w:sz="4"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c>
          <w:tcPr>
            <w:tcW w:w="910" w:type="dxa"/>
            <w:gridSpan w:val="2"/>
            <w:tcBorders>
              <w:top w:val="nil"/>
              <w:left w:val="nil"/>
              <w:bottom w:val="single" w:sz="8" w:space="0" w:color="auto"/>
              <w:right w:val="nil"/>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1.92</w:t>
            </w:r>
          </w:p>
        </w:tc>
        <w:tc>
          <w:tcPr>
            <w:tcW w:w="846" w:type="dxa"/>
            <w:tcBorders>
              <w:top w:val="nil"/>
              <w:left w:val="single" w:sz="4" w:space="0" w:color="auto"/>
              <w:bottom w:val="single" w:sz="8" w:space="0" w:color="auto"/>
              <w:right w:val="single" w:sz="8" w:space="0" w:color="auto"/>
            </w:tcBorders>
            <w:shd w:val="clear" w:color="auto" w:fill="auto"/>
            <w:vAlign w:val="center"/>
            <w:hideMark/>
          </w:tcPr>
          <w:p w:rsidR="00921D7F" w:rsidRPr="00921D7F" w:rsidRDefault="00921D7F" w:rsidP="00921D7F">
            <w:pPr>
              <w:widowControl/>
              <w:jc w:val="right"/>
              <w:rPr>
                <w:rFonts w:ascii="宋体" w:eastAsia="宋体" w:hAnsi="宋体" w:cs="宋体"/>
                <w:kern w:val="0"/>
                <w:sz w:val="20"/>
                <w:szCs w:val="20"/>
              </w:rPr>
            </w:pPr>
            <w:r w:rsidRPr="00921D7F">
              <w:rPr>
                <w:rFonts w:ascii="宋体" w:eastAsia="宋体" w:hAnsi="宋体" w:cs="宋体" w:hint="eastAsia"/>
                <w:kern w:val="0"/>
                <w:sz w:val="20"/>
                <w:szCs w:val="20"/>
              </w:rPr>
              <w:t>0</w:t>
            </w:r>
          </w:p>
        </w:tc>
      </w:tr>
      <w:tr w:rsidR="00921D7F" w:rsidRPr="00921D7F" w:rsidTr="00951E8E">
        <w:trPr>
          <w:trHeight w:val="690"/>
        </w:trPr>
        <w:tc>
          <w:tcPr>
            <w:tcW w:w="9780" w:type="dxa"/>
            <w:gridSpan w:val="26"/>
            <w:tcBorders>
              <w:top w:val="single" w:sz="8" w:space="0" w:color="auto"/>
              <w:left w:val="nil"/>
              <w:bottom w:val="nil"/>
              <w:right w:val="nil"/>
            </w:tcBorders>
            <w:shd w:val="clear" w:color="auto" w:fill="auto"/>
            <w:vAlign w:val="center"/>
            <w:hideMark/>
          </w:tcPr>
          <w:p w:rsidR="00921D7F" w:rsidRPr="00921D7F" w:rsidRDefault="00921D7F" w:rsidP="00921D7F">
            <w:pPr>
              <w:widowControl/>
              <w:jc w:val="left"/>
              <w:rPr>
                <w:rFonts w:ascii="宋体" w:eastAsia="宋体" w:hAnsi="宋体" w:cs="宋体"/>
                <w:kern w:val="0"/>
                <w:sz w:val="20"/>
                <w:szCs w:val="20"/>
              </w:rPr>
            </w:pPr>
            <w:r w:rsidRPr="00921D7F">
              <w:rPr>
                <w:rFonts w:ascii="宋体" w:eastAsia="宋体" w:hAnsi="宋体" w:cs="宋体" w:hint="eastAsia"/>
                <w:kern w:val="0"/>
                <w:sz w:val="20"/>
                <w:szCs w:val="20"/>
              </w:rPr>
              <w:t>注：2015年度预算数为“三公”经费年初预算数，决算数是包括当年一般公共预算财政拨款和以前年度结转资金安排的实际支出。</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222"/>
        </w:trPr>
        <w:tc>
          <w:tcPr>
            <w:tcW w:w="8879" w:type="dxa"/>
            <w:gridSpan w:val="24"/>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A116B5" w:rsidRDefault="00A116B5">
            <w:pPr>
              <w:widowControl/>
              <w:rPr>
                <w:rFonts w:ascii="宋体" w:eastAsia="宋体" w:hAnsi="宋体" w:cs="宋体"/>
                <w:sz w:val="20"/>
                <w:szCs w:val="20"/>
              </w:rPr>
            </w:pPr>
          </w:p>
          <w:p w:rsidR="00A116B5" w:rsidRDefault="00DC4E44">
            <w:pPr>
              <w:jc w:val="left"/>
              <w:rPr>
                <w:rFonts w:ascii="华文中宋" w:eastAsia="华文中宋" w:hAnsi="华文中宋" w:cs="宋体"/>
                <w:sz w:val="24"/>
                <w:szCs w:val="24"/>
              </w:rPr>
            </w:pPr>
            <w:r>
              <w:rPr>
                <w:rFonts w:ascii="宋体" w:eastAsia="宋体" w:hAnsi="宋体" w:cs="宋体" w:hint="eastAsia"/>
                <w:sz w:val="20"/>
                <w:szCs w:val="20"/>
              </w:rPr>
              <w:t xml:space="preserve">　　　　　　　　　　</w:t>
            </w:r>
            <w:r>
              <w:rPr>
                <w:rFonts w:ascii="华文中宋" w:eastAsia="华文中宋" w:hAnsi="华文中宋" w:hint="eastAsia"/>
                <w:sz w:val="24"/>
                <w:szCs w:val="24"/>
              </w:rPr>
              <w:t>政府性基金预算财政拨款收入支出决算表</w:t>
            </w:r>
          </w:p>
          <w:p w:rsidR="00A116B5" w:rsidRDefault="00A116B5">
            <w:pPr>
              <w:widowControl/>
              <w:jc w:val="left"/>
              <w:rPr>
                <w:rFonts w:ascii="宋体" w:eastAsia="宋体" w:hAnsi="宋体" w:cs="宋体"/>
                <w:sz w:val="20"/>
                <w:szCs w:val="20"/>
              </w:rPr>
            </w:pPr>
          </w:p>
          <w:p w:rsidR="00A116B5" w:rsidRDefault="00DC4E44">
            <w:pPr>
              <w:widowControl/>
              <w:jc w:val="right"/>
              <w:rPr>
                <w:rFonts w:ascii="宋体" w:eastAsia="宋体" w:hAnsi="宋体" w:cs="宋体"/>
                <w:sz w:val="20"/>
                <w:szCs w:val="20"/>
              </w:rPr>
            </w:pPr>
            <w:r>
              <w:rPr>
                <w:rFonts w:ascii="宋体" w:eastAsia="宋体" w:hAnsi="宋体" w:cs="宋体" w:hint="eastAsia"/>
                <w:sz w:val="20"/>
                <w:szCs w:val="20"/>
              </w:rPr>
              <w:t>公开08表</w:t>
            </w:r>
          </w:p>
        </w:tc>
      </w:tr>
      <w:tr w:rsidR="00E8608B" w:rsidTr="00E8608B">
        <w:tblPrEx>
          <w:tblCellMar>
            <w:left w:w="10" w:type="dxa"/>
            <w:right w:w="10" w:type="dxa"/>
          </w:tblCellMar>
          <w:tblLook w:val="0000" w:firstRow="0" w:lastRow="0" w:firstColumn="0" w:lastColumn="0" w:noHBand="0" w:noVBand="0"/>
        </w:tblPrEx>
        <w:trPr>
          <w:gridAfter w:val="2"/>
          <w:wAfter w:w="901" w:type="dxa"/>
          <w:trHeight w:val="195"/>
        </w:trPr>
        <w:tc>
          <w:tcPr>
            <w:tcW w:w="3946" w:type="dxa"/>
            <w:gridSpan w:val="9"/>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E8608B" w:rsidRDefault="00E8608B">
            <w:pPr>
              <w:widowControl/>
              <w:jc w:val="left"/>
              <w:rPr>
                <w:rFonts w:ascii="宋体" w:eastAsia="宋体" w:hAnsi="宋体" w:cs="宋体"/>
                <w:sz w:val="20"/>
                <w:szCs w:val="20"/>
              </w:rPr>
            </w:pPr>
            <w:r>
              <w:rPr>
                <w:rFonts w:ascii="宋体" w:eastAsia="宋体" w:hAnsi="宋体" w:cs="宋体" w:hint="eastAsia"/>
                <w:sz w:val="20"/>
                <w:szCs w:val="20"/>
              </w:rPr>
              <w:t>部门：梅州市公共资源交易中心</w:t>
            </w:r>
          </w:p>
        </w:tc>
        <w:tc>
          <w:tcPr>
            <w:tcW w:w="815" w:type="dxa"/>
            <w:gridSpan w:val="4"/>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E8608B" w:rsidRDefault="00E8608B">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739" w:type="dxa"/>
            <w:gridSpan w:val="2"/>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E8608B" w:rsidRDefault="00E8608B">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019" w:type="dxa"/>
            <w:gridSpan w:val="2"/>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E8608B" w:rsidRDefault="00E8608B">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2360" w:type="dxa"/>
            <w:gridSpan w:val="7"/>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E8608B" w:rsidRDefault="00E8608B">
            <w:pPr>
              <w:widowControl/>
              <w:jc w:val="left"/>
              <w:rPr>
                <w:rFonts w:ascii="宋体" w:eastAsia="宋体" w:hAnsi="宋体" w:cs="宋体"/>
                <w:sz w:val="20"/>
                <w:szCs w:val="20"/>
              </w:rPr>
            </w:pPr>
            <w:r>
              <w:rPr>
                <w:rFonts w:ascii="宋体" w:eastAsia="宋体" w:hAnsi="宋体" w:cs="宋体" w:hint="eastAsia"/>
                <w:sz w:val="20"/>
                <w:szCs w:val="20"/>
              </w:rPr>
              <w:t xml:space="preserve">　</w:t>
            </w:r>
          </w:p>
          <w:p w:rsidR="00E8608B" w:rsidRDefault="00E8608B" w:rsidP="00E8608B">
            <w:pPr>
              <w:widowControl/>
              <w:wordWrap w:val="0"/>
              <w:jc w:val="right"/>
              <w:rPr>
                <w:rFonts w:ascii="宋体" w:eastAsia="宋体" w:hAnsi="宋体" w:cs="宋体"/>
                <w:sz w:val="20"/>
                <w:szCs w:val="20"/>
              </w:rPr>
            </w:pPr>
            <w:r>
              <w:rPr>
                <w:rFonts w:ascii="宋体" w:eastAsia="宋体" w:hAnsi="宋体" w:cs="宋体" w:hint="eastAsia"/>
                <w:sz w:val="20"/>
                <w:szCs w:val="20"/>
              </w:rPr>
              <w:t>单位：万元</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405"/>
        </w:trPr>
        <w:tc>
          <w:tcPr>
            <w:tcW w:w="2800" w:type="dxa"/>
            <w:gridSpan w:val="5"/>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项    目</w:t>
            </w:r>
          </w:p>
        </w:tc>
        <w:tc>
          <w:tcPr>
            <w:tcW w:w="1146" w:type="dxa"/>
            <w:gridSpan w:val="4"/>
            <w:vMerge w:val="restart"/>
            <w:tcBorders>
              <w:top w:val="none" w:sz="0" w:space="0" w:color="000000"/>
              <w:left w:val="single" w:sz="4" w:space="0" w:color="000000"/>
              <w:bottom w:val="none" w:sz="0" w:space="0" w:color="000000"/>
              <w:right w:val="none" w:sz="0"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年初结转和结余</w:t>
            </w:r>
          </w:p>
        </w:tc>
        <w:tc>
          <w:tcPr>
            <w:tcW w:w="815" w:type="dxa"/>
            <w:gridSpan w:val="4"/>
            <w:vMerge w:val="restart"/>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本年收入</w:t>
            </w:r>
          </w:p>
        </w:tc>
        <w:tc>
          <w:tcPr>
            <w:tcW w:w="2702" w:type="dxa"/>
            <w:gridSpan w:val="8"/>
            <w:tcBorders>
              <w:top w:val="single" w:sz="8"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本年支出</w:t>
            </w:r>
          </w:p>
        </w:tc>
        <w:tc>
          <w:tcPr>
            <w:tcW w:w="1416" w:type="dxa"/>
            <w:gridSpan w:val="3"/>
            <w:vMerge w:val="restart"/>
            <w:tcBorders>
              <w:top w:val="single" w:sz="8" w:space="0" w:color="000000"/>
              <w:left w:val="single" w:sz="4" w:space="0" w:color="000000"/>
              <w:bottom w:val="none" w:sz="0" w:space="0" w:color="000000"/>
              <w:right w:val="single" w:sz="8"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年末结转和结余</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540"/>
        </w:trPr>
        <w:tc>
          <w:tcPr>
            <w:tcW w:w="1276" w:type="dxa"/>
            <w:gridSpan w:val="2"/>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功能分类科目编码</w:t>
            </w:r>
          </w:p>
        </w:tc>
        <w:tc>
          <w:tcPr>
            <w:tcW w:w="1524" w:type="dxa"/>
            <w:gridSpan w:val="3"/>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科目名称</w:t>
            </w:r>
          </w:p>
        </w:tc>
        <w:tc>
          <w:tcPr>
            <w:tcW w:w="1146" w:type="dxa"/>
            <w:gridSpan w:val="4"/>
            <w:vMerge/>
            <w:tcBorders>
              <w:top w:val="none" w:sz="0" w:space="0" w:color="000000"/>
              <w:left w:val="single" w:sz="4" w:space="0" w:color="000000"/>
              <w:bottom w:val="none" w:sz="0" w:space="0" w:color="000000"/>
              <w:right w:val="none" w:sz="0" w:space="0" w:color="000000"/>
            </w:tcBorders>
            <w:tcMar>
              <w:top w:w="0" w:type="dxa"/>
              <w:left w:w="108" w:type="dxa"/>
              <w:bottom w:w="0" w:type="dxa"/>
              <w:right w:w="108" w:type="dxa"/>
            </w:tcMar>
            <w:vAlign w:val="center"/>
          </w:tcPr>
          <w:p w:rsidR="00A116B5" w:rsidRDefault="00A116B5"/>
        </w:tc>
        <w:tc>
          <w:tcPr>
            <w:tcW w:w="815" w:type="dxa"/>
            <w:gridSpan w:val="4"/>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116B5" w:rsidRDefault="00A116B5"/>
        </w:tc>
        <w:tc>
          <w:tcPr>
            <w:tcW w:w="739" w:type="dxa"/>
            <w:gridSpan w:val="2"/>
            <w:vMerge w:val="restart"/>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小计</w:t>
            </w:r>
          </w:p>
        </w:tc>
        <w:tc>
          <w:tcPr>
            <w:tcW w:w="1019" w:type="dxa"/>
            <w:gridSpan w:val="2"/>
            <w:vMerge w:val="restart"/>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基本支出  </w:t>
            </w:r>
          </w:p>
        </w:tc>
        <w:tc>
          <w:tcPr>
            <w:tcW w:w="944" w:type="dxa"/>
            <w:gridSpan w:val="4"/>
            <w:vMerge w:val="restart"/>
            <w:tcBorders>
              <w:top w:val="none" w:sz="0" w:space="0" w:color="000000"/>
              <w:left w:val="single" w:sz="4" w:space="0" w:color="000000"/>
              <w:bottom w:val="none" w:sz="0" w:space="0" w:color="000000"/>
              <w:right w:val="none" w:sz="0"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项目支出</w:t>
            </w:r>
          </w:p>
        </w:tc>
        <w:tc>
          <w:tcPr>
            <w:tcW w:w="1416" w:type="dxa"/>
            <w:gridSpan w:val="3"/>
            <w:vMerge/>
            <w:tcBorders>
              <w:top w:val="single" w:sz="8" w:space="0" w:color="000000"/>
              <w:left w:val="single" w:sz="4" w:space="0" w:color="000000"/>
              <w:bottom w:val="none" w:sz="0" w:space="0" w:color="000000"/>
              <w:right w:val="single" w:sz="8" w:space="0" w:color="000000"/>
            </w:tcBorders>
            <w:tcMar>
              <w:top w:w="0" w:type="dxa"/>
              <w:left w:w="108" w:type="dxa"/>
              <w:bottom w:w="0" w:type="dxa"/>
              <w:right w:w="108" w:type="dxa"/>
            </w:tcMar>
            <w:vAlign w:val="center"/>
          </w:tcPr>
          <w:p w:rsidR="00A116B5" w:rsidRDefault="00A116B5"/>
        </w:tc>
      </w:tr>
      <w:tr w:rsidR="00A116B5" w:rsidTr="00E8608B">
        <w:tblPrEx>
          <w:tblCellMar>
            <w:left w:w="10" w:type="dxa"/>
            <w:right w:w="10" w:type="dxa"/>
          </w:tblCellMar>
          <w:tblLook w:val="0000" w:firstRow="0" w:lastRow="0" w:firstColumn="0" w:lastColumn="0" w:noHBand="0" w:noVBand="0"/>
        </w:tblPrEx>
        <w:trPr>
          <w:gridAfter w:val="2"/>
          <w:wAfter w:w="901" w:type="dxa"/>
          <w:trHeight w:val="360"/>
        </w:trPr>
        <w:tc>
          <w:tcPr>
            <w:tcW w:w="1276" w:type="dxa"/>
            <w:gridSpan w:val="2"/>
            <w:vMerge/>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A116B5"/>
        </w:tc>
        <w:tc>
          <w:tcPr>
            <w:tcW w:w="1524" w:type="dxa"/>
            <w:gridSpan w:val="3"/>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16B5" w:rsidRDefault="00A116B5"/>
        </w:tc>
        <w:tc>
          <w:tcPr>
            <w:tcW w:w="1146" w:type="dxa"/>
            <w:gridSpan w:val="4"/>
            <w:vMerge/>
            <w:tcBorders>
              <w:top w:val="none" w:sz="0" w:space="0" w:color="000000"/>
              <w:left w:val="single" w:sz="4" w:space="0" w:color="000000"/>
              <w:bottom w:val="none" w:sz="0" w:space="0" w:color="000000"/>
              <w:right w:val="none" w:sz="0" w:space="0" w:color="000000"/>
            </w:tcBorders>
            <w:tcMar>
              <w:top w:w="0" w:type="dxa"/>
              <w:left w:w="108" w:type="dxa"/>
              <w:bottom w:w="0" w:type="dxa"/>
              <w:right w:w="108" w:type="dxa"/>
            </w:tcMar>
            <w:vAlign w:val="center"/>
          </w:tcPr>
          <w:p w:rsidR="00A116B5" w:rsidRDefault="00A116B5"/>
        </w:tc>
        <w:tc>
          <w:tcPr>
            <w:tcW w:w="815" w:type="dxa"/>
            <w:gridSpan w:val="4"/>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116B5" w:rsidRDefault="00A116B5"/>
        </w:tc>
        <w:tc>
          <w:tcPr>
            <w:tcW w:w="739" w:type="dxa"/>
            <w:gridSpan w:val="2"/>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116B5" w:rsidRDefault="00A116B5"/>
        </w:tc>
        <w:tc>
          <w:tcPr>
            <w:tcW w:w="1019" w:type="dxa"/>
            <w:gridSpan w:val="2"/>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116B5" w:rsidRDefault="00A116B5"/>
        </w:tc>
        <w:tc>
          <w:tcPr>
            <w:tcW w:w="944" w:type="dxa"/>
            <w:gridSpan w:val="4"/>
            <w:vMerge/>
            <w:tcBorders>
              <w:top w:val="none" w:sz="0" w:space="0" w:color="000000"/>
              <w:left w:val="single" w:sz="4" w:space="0" w:color="000000"/>
              <w:bottom w:val="none" w:sz="0" w:space="0" w:color="000000"/>
              <w:right w:val="none" w:sz="0" w:space="0" w:color="000000"/>
            </w:tcBorders>
            <w:tcMar>
              <w:top w:w="0" w:type="dxa"/>
              <w:left w:w="108" w:type="dxa"/>
              <w:bottom w:w="0" w:type="dxa"/>
              <w:right w:w="108" w:type="dxa"/>
            </w:tcMar>
            <w:vAlign w:val="center"/>
          </w:tcPr>
          <w:p w:rsidR="00A116B5" w:rsidRDefault="00A116B5"/>
        </w:tc>
        <w:tc>
          <w:tcPr>
            <w:tcW w:w="1416" w:type="dxa"/>
            <w:gridSpan w:val="3"/>
            <w:vMerge/>
            <w:tcBorders>
              <w:top w:val="single" w:sz="8" w:space="0" w:color="000000"/>
              <w:left w:val="single" w:sz="4" w:space="0" w:color="000000"/>
              <w:bottom w:val="none" w:sz="0" w:space="0" w:color="000000"/>
              <w:right w:val="single" w:sz="8" w:space="0" w:color="000000"/>
            </w:tcBorders>
            <w:tcMar>
              <w:top w:w="0" w:type="dxa"/>
              <w:left w:w="108" w:type="dxa"/>
              <w:bottom w:w="0" w:type="dxa"/>
              <w:right w:w="108" w:type="dxa"/>
            </w:tcMar>
            <w:vAlign w:val="center"/>
          </w:tcPr>
          <w:p w:rsidR="00A116B5" w:rsidRDefault="00A116B5"/>
        </w:tc>
      </w:tr>
      <w:tr w:rsidR="00A116B5" w:rsidTr="00E8608B">
        <w:tblPrEx>
          <w:tblCellMar>
            <w:left w:w="10" w:type="dxa"/>
            <w:right w:w="10" w:type="dxa"/>
          </w:tblCellMar>
          <w:tblLook w:val="0000" w:firstRow="0" w:lastRow="0" w:firstColumn="0" w:lastColumn="0" w:noHBand="0" w:noVBand="0"/>
        </w:tblPrEx>
        <w:trPr>
          <w:gridAfter w:val="2"/>
          <w:wAfter w:w="901" w:type="dxa"/>
          <w:trHeight w:val="450"/>
        </w:trPr>
        <w:tc>
          <w:tcPr>
            <w:tcW w:w="2800" w:type="dxa"/>
            <w:gridSpan w:val="5"/>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栏次</w:t>
            </w:r>
          </w:p>
        </w:tc>
        <w:tc>
          <w:tcPr>
            <w:tcW w:w="1146" w:type="dxa"/>
            <w:gridSpan w:val="4"/>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1</w:t>
            </w:r>
          </w:p>
        </w:tc>
        <w:tc>
          <w:tcPr>
            <w:tcW w:w="815" w:type="dxa"/>
            <w:gridSpan w:val="4"/>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2</w:t>
            </w:r>
          </w:p>
        </w:tc>
        <w:tc>
          <w:tcPr>
            <w:tcW w:w="73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3</w:t>
            </w:r>
          </w:p>
        </w:tc>
        <w:tc>
          <w:tcPr>
            <w:tcW w:w="101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4</w:t>
            </w:r>
          </w:p>
        </w:tc>
        <w:tc>
          <w:tcPr>
            <w:tcW w:w="944" w:type="dxa"/>
            <w:gridSpan w:val="4"/>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5</w:t>
            </w:r>
          </w:p>
        </w:tc>
        <w:tc>
          <w:tcPr>
            <w:tcW w:w="1416" w:type="dxa"/>
            <w:gridSpan w:val="3"/>
            <w:tcBorders>
              <w:top w:val="none" w:sz="0"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6</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450"/>
        </w:trPr>
        <w:tc>
          <w:tcPr>
            <w:tcW w:w="2800" w:type="dxa"/>
            <w:gridSpan w:val="5"/>
            <w:tcBorders>
              <w:top w:val="none" w:sz="0"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合计</w:t>
            </w:r>
          </w:p>
        </w:tc>
        <w:tc>
          <w:tcPr>
            <w:tcW w:w="1146" w:type="dxa"/>
            <w:gridSpan w:val="4"/>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vAlign w:val="bottom"/>
          </w:tcPr>
          <w:p w:rsidR="00A116B5" w:rsidRDefault="00A116B5">
            <w:pPr>
              <w:widowControl/>
              <w:jc w:val="left"/>
              <w:rPr>
                <w:rFonts w:ascii="宋体" w:eastAsia="宋体" w:hAnsi="宋体" w:cs="宋体"/>
                <w:sz w:val="24"/>
                <w:szCs w:val="24"/>
              </w:rPr>
            </w:pPr>
          </w:p>
          <w:p w:rsidR="00A116B5" w:rsidRDefault="00A116B5">
            <w:pPr>
              <w:widowControl/>
              <w:jc w:val="left"/>
              <w:rPr>
                <w:rFonts w:ascii="宋体" w:eastAsia="宋体" w:hAnsi="宋体" w:cs="宋体"/>
                <w:sz w:val="24"/>
                <w:szCs w:val="24"/>
              </w:rPr>
            </w:pPr>
          </w:p>
        </w:tc>
        <w:tc>
          <w:tcPr>
            <w:tcW w:w="815" w:type="dxa"/>
            <w:gridSpan w:val="4"/>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c>
          <w:tcPr>
            <w:tcW w:w="73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c>
          <w:tcPr>
            <w:tcW w:w="101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c>
          <w:tcPr>
            <w:tcW w:w="944" w:type="dxa"/>
            <w:gridSpan w:val="4"/>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c>
          <w:tcPr>
            <w:tcW w:w="1416" w:type="dxa"/>
            <w:gridSpan w:val="3"/>
            <w:tcBorders>
              <w:top w:val="none" w:sz="0"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450"/>
        </w:trPr>
        <w:tc>
          <w:tcPr>
            <w:tcW w:w="1276" w:type="dxa"/>
            <w:gridSpan w:val="2"/>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c>
          <w:tcPr>
            <w:tcW w:w="1524" w:type="dxa"/>
            <w:gridSpan w:val="3"/>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146" w:type="dxa"/>
            <w:gridSpan w:val="4"/>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15" w:type="dxa"/>
            <w:gridSpan w:val="4"/>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73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01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944" w:type="dxa"/>
            <w:gridSpan w:val="4"/>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416" w:type="dxa"/>
            <w:gridSpan w:val="3"/>
            <w:tcBorders>
              <w:top w:val="none" w:sz="0"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450"/>
        </w:trPr>
        <w:tc>
          <w:tcPr>
            <w:tcW w:w="1276" w:type="dxa"/>
            <w:gridSpan w:val="2"/>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c>
          <w:tcPr>
            <w:tcW w:w="1524" w:type="dxa"/>
            <w:gridSpan w:val="3"/>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146" w:type="dxa"/>
            <w:gridSpan w:val="4"/>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15" w:type="dxa"/>
            <w:gridSpan w:val="4"/>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73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019" w:type="dxa"/>
            <w:gridSpan w:val="2"/>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944" w:type="dxa"/>
            <w:gridSpan w:val="4"/>
            <w:tcBorders>
              <w:top w:val="none" w:sz="0" w:space="0" w:color="000000"/>
              <w:left w:val="single" w:sz="8" w:space="0" w:color="000000"/>
              <w:bottom w:val="single" w:sz="4" w:space="0" w:color="000000"/>
              <w:right w:val="none" w:sz="0"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416" w:type="dxa"/>
            <w:gridSpan w:val="3"/>
            <w:tcBorders>
              <w:top w:val="none" w:sz="0"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450"/>
        </w:trPr>
        <w:tc>
          <w:tcPr>
            <w:tcW w:w="1276" w:type="dxa"/>
            <w:gridSpan w:val="2"/>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c>
          <w:tcPr>
            <w:tcW w:w="1524" w:type="dxa"/>
            <w:gridSpan w:val="3"/>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146" w:type="dxa"/>
            <w:gridSpan w:val="4"/>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15" w:type="dxa"/>
            <w:gridSpan w:val="4"/>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73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01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944" w:type="dxa"/>
            <w:gridSpan w:val="4"/>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416" w:type="dxa"/>
            <w:gridSpan w:val="3"/>
            <w:tcBorders>
              <w:top w:val="none" w:sz="0"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450"/>
        </w:trPr>
        <w:tc>
          <w:tcPr>
            <w:tcW w:w="1276" w:type="dxa"/>
            <w:gridSpan w:val="2"/>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center"/>
              <w:rPr>
                <w:rFonts w:ascii="宋体" w:eastAsia="宋体" w:hAnsi="宋体" w:cs="宋体"/>
                <w:sz w:val="20"/>
                <w:szCs w:val="20"/>
              </w:rPr>
            </w:pPr>
            <w:r>
              <w:rPr>
                <w:rFonts w:ascii="宋体" w:eastAsia="宋体" w:hAnsi="宋体" w:cs="宋体" w:hint="eastAsia"/>
                <w:sz w:val="20"/>
                <w:szCs w:val="20"/>
              </w:rPr>
              <w:t xml:space="preserve">　</w:t>
            </w:r>
          </w:p>
        </w:tc>
        <w:tc>
          <w:tcPr>
            <w:tcW w:w="1524" w:type="dxa"/>
            <w:gridSpan w:val="3"/>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146" w:type="dxa"/>
            <w:gridSpan w:val="4"/>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15" w:type="dxa"/>
            <w:gridSpan w:val="4"/>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73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019"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944" w:type="dxa"/>
            <w:gridSpan w:val="4"/>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416" w:type="dxa"/>
            <w:gridSpan w:val="3"/>
            <w:tcBorders>
              <w:top w:val="none" w:sz="0"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 xml:space="preserve">　</w:t>
            </w:r>
          </w:p>
        </w:tc>
      </w:tr>
      <w:tr w:rsidR="00A116B5" w:rsidTr="00E8608B">
        <w:tblPrEx>
          <w:tblCellMar>
            <w:left w:w="10" w:type="dxa"/>
            <w:right w:w="10" w:type="dxa"/>
          </w:tblCellMar>
          <w:tblLook w:val="0000" w:firstRow="0" w:lastRow="0" w:firstColumn="0" w:lastColumn="0" w:noHBand="0" w:noVBand="0"/>
        </w:tblPrEx>
        <w:trPr>
          <w:gridAfter w:val="2"/>
          <w:wAfter w:w="901" w:type="dxa"/>
          <w:trHeight w:val="300"/>
        </w:trPr>
        <w:tc>
          <w:tcPr>
            <w:tcW w:w="8879" w:type="dxa"/>
            <w:gridSpan w:val="24"/>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A116B5" w:rsidRDefault="00DC4E44">
            <w:pPr>
              <w:widowControl/>
              <w:jc w:val="left"/>
              <w:rPr>
                <w:rFonts w:ascii="宋体" w:eastAsia="宋体" w:hAnsi="宋体" w:cs="宋体"/>
                <w:sz w:val="20"/>
                <w:szCs w:val="20"/>
              </w:rPr>
            </w:pPr>
            <w:r>
              <w:rPr>
                <w:rFonts w:ascii="宋体" w:eastAsia="宋体" w:hAnsi="宋体" w:cs="宋体" w:hint="eastAsia"/>
                <w:sz w:val="20"/>
                <w:szCs w:val="20"/>
              </w:rPr>
              <w:t>注：本表反映部门本年度政府性</w:t>
            </w:r>
            <w:bookmarkStart w:id="1" w:name="_GoBack"/>
            <w:bookmarkEnd w:id="1"/>
            <w:r>
              <w:rPr>
                <w:rFonts w:ascii="宋体" w:eastAsia="宋体" w:hAnsi="宋体" w:cs="宋体" w:hint="eastAsia"/>
                <w:sz w:val="20"/>
                <w:szCs w:val="20"/>
              </w:rPr>
              <w:t>基金预算财政拨款收入支出及结转和结余情况。</w:t>
            </w:r>
          </w:p>
        </w:tc>
      </w:tr>
    </w:tbl>
    <w:p w:rsidR="00A116B5" w:rsidRDefault="00A116B5">
      <w:pPr>
        <w:widowControl/>
        <w:spacing w:line="560" w:lineRule="atLeast"/>
        <w:jc w:val="center"/>
        <w:rPr>
          <w:rFonts w:ascii="宋体" w:eastAsia="宋体" w:hAnsi="宋体" w:cs="宋体"/>
          <w:b/>
          <w:color w:val="282828"/>
          <w:sz w:val="32"/>
          <w:szCs w:val="32"/>
        </w:rPr>
      </w:pPr>
    </w:p>
    <w:p w:rsidR="00A116B5" w:rsidRDefault="00DC4E44">
      <w:pPr>
        <w:widowControl/>
        <w:spacing w:line="560" w:lineRule="atLeast"/>
        <w:ind w:firstLine="1285"/>
        <w:rPr>
          <w:rFonts w:ascii="宋体" w:eastAsia="宋体" w:hAnsi="宋体" w:cs="宋体"/>
          <w:b/>
          <w:color w:val="282828"/>
          <w:sz w:val="32"/>
          <w:szCs w:val="32"/>
        </w:rPr>
      </w:pPr>
      <w:r>
        <w:rPr>
          <w:rFonts w:ascii="宋体" w:eastAsia="宋体" w:hAnsi="宋体" w:cs="宋体" w:hint="eastAsia"/>
          <w:b/>
          <w:color w:val="282828"/>
          <w:sz w:val="32"/>
          <w:szCs w:val="32"/>
        </w:rPr>
        <w:t>第三部分 梅州市公共资源交易中心2015 年度</w:t>
      </w:r>
    </w:p>
    <w:p w:rsidR="00A116B5" w:rsidRDefault="00DC4E44">
      <w:pPr>
        <w:widowControl/>
        <w:spacing w:line="560" w:lineRule="atLeast"/>
        <w:jc w:val="center"/>
        <w:rPr>
          <w:rFonts w:ascii="宋体" w:eastAsia="宋体" w:hAnsi="宋体" w:cs="宋体"/>
          <w:b/>
          <w:color w:val="282828"/>
          <w:sz w:val="24"/>
          <w:szCs w:val="24"/>
        </w:rPr>
      </w:pPr>
      <w:r>
        <w:rPr>
          <w:rFonts w:ascii="宋体" w:eastAsia="宋体" w:hAnsi="宋体" w:cs="宋体" w:hint="eastAsia"/>
          <w:b/>
          <w:color w:val="282828"/>
          <w:sz w:val="32"/>
          <w:szCs w:val="32"/>
        </w:rPr>
        <w:t>部门决算情况说明</w:t>
      </w:r>
    </w:p>
    <w:p w:rsidR="00A116B5" w:rsidRDefault="00DC4E44">
      <w:pPr>
        <w:spacing w:line="560" w:lineRule="atLeast"/>
        <w:ind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1、收入决算情况说明。</w:t>
      </w:r>
    </w:p>
    <w:p w:rsidR="00A116B5" w:rsidRDefault="00DC4E44">
      <w:pPr>
        <w:spacing w:line="560" w:lineRule="atLeast"/>
        <w:ind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2015年收入决算882.16万元，其中：财政拨款259.69万元，占29.44%；事业收入560万元，占63.48%；其他收入62.47万元，占7.08%。财政拨款收入占29.44%事业收入占63.48%其他收入占7.08%。</w:t>
      </w:r>
    </w:p>
    <w:p w:rsidR="00A116B5" w:rsidRDefault="00DC4E44">
      <w:pPr>
        <w:spacing w:line="560" w:lineRule="atLeast"/>
        <w:ind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2、支出决算情况说明。</w:t>
      </w:r>
    </w:p>
    <w:p w:rsidR="00A116B5" w:rsidRDefault="00DC4E44">
      <w:pPr>
        <w:spacing w:line="560" w:lineRule="atLeast"/>
        <w:ind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2015年支出决算280.39万元，其中：</w:t>
      </w:r>
      <w:r>
        <w:rPr>
          <w:rFonts w:ascii="仿宋" w:eastAsia="仿宋" w:hAnsi="仿宋"/>
          <w:sz w:val="30"/>
          <w:szCs w:val="30"/>
          <w:shd w:val="clear" w:color="auto" w:fill="FFFFFF"/>
        </w:rPr>
        <w:fldChar w:fldCharType="begin"/>
      </w:r>
      <w:r>
        <w:rPr>
          <w:rFonts w:ascii="仿宋" w:eastAsia="仿宋" w:hAnsi="仿宋"/>
          <w:sz w:val="30"/>
          <w:szCs w:val="30"/>
          <w:shd w:val="clear" w:color="auto" w:fill="FFFFFF"/>
        </w:rPr>
        <w:instrText xml:space="preserve">= 1 \# "#,##0.xxxxxxxxxxxxxxxxxxxx" </w:instrText>
      </w:r>
      <w:r>
        <w:rPr>
          <w:rFonts w:ascii="仿宋" w:eastAsia="仿宋" w:hAnsi="仿宋"/>
          <w:sz w:val="30"/>
          <w:szCs w:val="30"/>
          <w:shd w:val="clear" w:color="auto" w:fill="FFFFFF"/>
        </w:rPr>
        <w:fldChar w:fldCharType="separate"/>
      </w:r>
      <w:r>
        <w:rPr>
          <w:rFonts w:ascii="仿宋" w:eastAsia="仿宋" w:hAnsi="仿宋"/>
          <w:sz w:val="30"/>
          <w:szCs w:val="30"/>
          <w:shd w:val="clear" w:color="auto" w:fill="FFFFFF"/>
        </w:rPr>
        <w:t>1</w:t>
      </w:r>
      <w:r>
        <w:rPr>
          <w:rFonts w:ascii="仿宋" w:eastAsia="仿宋" w:hAnsi="仿宋"/>
          <w:sz w:val="30"/>
          <w:szCs w:val="30"/>
          <w:shd w:val="clear" w:color="auto" w:fill="FFFFFF"/>
        </w:rPr>
        <w:fldChar w:fldCharType="end"/>
      </w:r>
      <w:r>
        <w:rPr>
          <w:rFonts w:ascii="仿宋" w:eastAsia="仿宋" w:hAnsi="仿宋" w:hint="eastAsia"/>
          <w:sz w:val="30"/>
          <w:szCs w:val="30"/>
          <w:shd w:val="clear" w:color="auto" w:fill="FFFFFF"/>
        </w:rPr>
        <w:t>基本支出259.69万元，占92.62%；主要用于以下方面：一般公共服务（类）支出255.94万元，占98.56%；社保保障和就业支出0.55万元，占0.21%；医疗卫生与计划生育支出0.83万元，占0.32%；住房保障支出2.38万元，占0.91%。</w:t>
      </w:r>
      <w:r>
        <w:rPr>
          <w:rFonts w:ascii="仿宋" w:eastAsia="仿宋" w:hAnsi="仿宋"/>
          <w:sz w:val="30"/>
          <w:szCs w:val="30"/>
          <w:shd w:val="clear" w:color="auto" w:fill="FFFFFF"/>
        </w:rPr>
        <w:fldChar w:fldCharType="begin"/>
      </w:r>
      <w:r>
        <w:rPr>
          <w:rFonts w:ascii="仿宋" w:eastAsia="仿宋" w:hAnsi="仿宋"/>
          <w:sz w:val="30"/>
          <w:szCs w:val="30"/>
          <w:shd w:val="clear" w:color="auto" w:fill="FFFFFF"/>
        </w:rPr>
        <w:instrText xml:space="preserve">= 2 \# "#,##0.xxxxxxxxxxxxxxxxxxxx" </w:instrText>
      </w:r>
      <w:r>
        <w:rPr>
          <w:rFonts w:ascii="仿宋" w:eastAsia="仿宋" w:hAnsi="仿宋"/>
          <w:sz w:val="30"/>
          <w:szCs w:val="30"/>
          <w:shd w:val="clear" w:color="auto" w:fill="FFFFFF"/>
        </w:rPr>
        <w:fldChar w:fldCharType="separate"/>
      </w:r>
      <w:r>
        <w:rPr>
          <w:rFonts w:ascii="仿宋" w:eastAsia="仿宋" w:hAnsi="仿宋"/>
          <w:sz w:val="30"/>
          <w:szCs w:val="30"/>
          <w:shd w:val="clear" w:color="auto" w:fill="FFFFFF"/>
        </w:rPr>
        <w:t>2</w:t>
      </w:r>
      <w:r>
        <w:rPr>
          <w:rFonts w:ascii="仿宋" w:eastAsia="仿宋" w:hAnsi="仿宋"/>
          <w:sz w:val="30"/>
          <w:szCs w:val="30"/>
          <w:shd w:val="clear" w:color="auto" w:fill="FFFFFF"/>
        </w:rPr>
        <w:fldChar w:fldCharType="end"/>
      </w:r>
      <w:r>
        <w:rPr>
          <w:rFonts w:ascii="仿宋" w:eastAsia="仿宋" w:hAnsi="仿宋" w:hint="eastAsia"/>
          <w:sz w:val="30"/>
          <w:szCs w:val="30"/>
          <w:shd w:val="clear" w:color="auto" w:fill="FFFFFF"/>
        </w:rPr>
        <w:t xml:space="preserve"> 项目支出20.7万元，占7.38%。</w:t>
      </w:r>
    </w:p>
    <w:p w:rsidR="00A116B5" w:rsidRDefault="00DC4E44">
      <w:pPr>
        <w:spacing w:line="560" w:lineRule="atLeast"/>
        <w:ind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lastRenderedPageBreak/>
        <w:t>3、2015年度一般公共预算财政拨款支出决算情况说明</w:t>
      </w:r>
    </w:p>
    <w:p w:rsidR="00A116B5" w:rsidRDefault="00DC4E44">
      <w:pPr>
        <w:spacing w:line="560" w:lineRule="atLeast"/>
        <w:ind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2015年度财政拨款基本支出259.69万元 ，其中：人员经费40.28万元，</w:t>
      </w:r>
      <w:r>
        <w:rPr>
          <w:rFonts w:ascii="仿宋" w:eastAsia="仿宋" w:hAnsi="仿宋" w:cs="仿宋_GB2312" w:hint="eastAsia"/>
          <w:sz w:val="30"/>
          <w:szCs w:val="30"/>
        </w:rPr>
        <w:t>主要包括：基本工资、津贴补贴、奖金、社会保障缴费、绩效工资、退休费、奖励金、住房公积金；</w:t>
      </w:r>
      <w:r>
        <w:rPr>
          <w:rFonts w:ascii="仿宋" w:eastAsia="仿宋" w:hAnsi="仿宋" w:hint="eastAsia"/>
          <w:sz w:val="30"/>
          <w:szCs w:val="30"/>
          <w:shd w:val="clear" w:color="auto" w:fill="FFFFFF"/>
        </w:rPr>
        <w:t>公用经费支出219.41万元，</w:t>
      </w:r>
      <w:r>
        <w:rPr>
          <w:rFonts w:ascii="仿宋" w:eastAsia="仿宋" w:hAnsi="仿宋" w:cs="仿宋_GB2312" w:hint="eastAsia"/>
          <w:sz w:val="30"/>
          <w:szCs w:val="30"/>
        </w:rPr>
        <w:t>主要包括：办公费、印刷费、手续费、水费、电费、邮电费、物业管理费、差旅费、维修（护）费、培训费、劳务费、公务用车运行维护费、其他交通费用、其他商品和服务支出、办公设备购置、信息网络及软件购置更新。</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4、本单位2015年无政府性基金预算财政拨款收入支出。</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四、“三公经费”支出决算情况说明</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2015年市公共资源交易中心“三公”经费决算支出（统计内容为公务接待费、因公出国出境经费、公车购置经费、公务用车运行费）为1.92万元。其中公务用车运行费1.92万元，主要用于市内及省相关单位联系公干因公出行。无公务接待费及出国出境经费。</w:t>
      </w:r>
    </w:p>
    <w:p w:rsidR="00A116B5" w:rsidRDefault="00DC4E44">
      <w:pPr>
        <w:spacing w:line="520" w:lineRule="exact"/>
        <w:rPr>
          <w:rFonts w:ascii="仿宋" w:eastAsia="仿宋" w:hAnsi="仿宋" w:cs="仿宋"/>
          <w:sz w:val="32"/>
          <w:szCs w:val="32"/>
        </w:rPr>
      </w:pPr>
      <w:r>
        <w:rPr>
          <w:rFonts w:ascii="仿宋" w:eastAsia="仿宋" w:hAnsi="仿宋" w:cs="仿宋" w:hint="eastAsia"/>
          <w:sz w:val="32"/>
          <w:szCs w:val="32"/>
        </w:rPr>
        <w:t xml:space="preserve">    五、其他重要事项的情况说明</w:t>
      </w:r>
    </w:p>
    <w:p w:rsidR="00A116B5" w:rsidRDefault="00DC4E44">
      <w:pPr>
        <w:spacing w:line="520" w:lineRule="exact"/>
        <w:rPr>
          <w:rFonts w:ascii="仿宋" w:eastAsia="仿宋" w:hAnsi="仿宋" w:cs="仿宋"/>
          <w:sz w:val="32"/>
          <w:szCs w:val="32"/>
        </w:rPr>
      </w:pPr>
      <w:r>
        <w:rPr>
          <w:rFonts w:ascii="仿宋" w:eastAsia="仿宋" w:hAnsi="仿宋" w:cs="仿宋" w:hint="eastAsia"/>
          <w:sz w:val="32"/>
          <w:szCs w:val="32"/>
        </w:rPr>
        <w:t xml:space="preserve">    （一）事业运行经费支出情况。</w:t>
      </w:r>
    </w:p>
    <w:p w:rsidR="00A116B5" w:rsidRDefault="00DC4E44" w:rsidP="00005818">
      <w:pPr>
        <w:spacing w:line="520" w:lineRule="exact"/>
        <w:ind w:firstLineChars="250" w:firstLine="800"/>
        <w:rPr>
          <w:rFonts w:ascii="仿宋" w:eastAsia="仿宋" w:hAnsi="仿宋" w:cs="仿宋"/>
          <w:sz w:val="32"/>
          <w:szCs w:val="32"/>
        </w:rPr>
      </w:pPr>
      <w:r>
        <w:rPr>
          <w:rFonts w:ascii="仿宋" w:eastAsia="仿宋" w:hAnsi="仿宋" w:cs="仿宋"/>
          <w:sz w:val="32"/>
          <w:szCs w:val="32"/>
        </w:rPr>
        <w:t>2015</w:t>
      </w:r>
      <w:r>
        <w:rPr>
          <w:rFonts w:ascii="仿宋" w:eastAsia="仿宋" w:hAnsi="仿宋" w:cs="仿宋" w:hint="eastAsia"/>
          <w:sz w:val="32"/>
          <w:szCs w:val="32"/>
        </w:rPr>
        <w:t>年事业运行经费支出255.94万元。主要是用于办公经费及人员经费支出等。</w:t>
      </w:r>
    </w:p>
    <w:p w:rsidR="00A116B5" w:rsidRPr="00005818" w:rsidRDefault="00DC4E44" w:rsidP="00005818">
      <w:pPr>
        <w:spacing w:line="520" w:lineRule="exact"/>
        <w:ind w:firstLineChars="250" w:firstLine="750"/>
        <w:rPr>
          <w:rFonts w:ascii="仿宋" w:eastAsia="仿宋" w:hAnsi="仿宋" w:cs="楷体_GB2312"/>
          <w:sz w:val="30"/>
          <w:szCs w:val="30"/>
        </w:rPr>
      </w:pPr>
      <w:r w:rsidRPr="00005818">
        <w:rPr>
          <w:rFonts w:ascii="仿宋" w:eastAsia="仿宋" w:hAnsi="仿宋" w:cs="楷体_GB2312" w:hint="eastAsia"/>
          <w:sz w:val="30"/>
          <w:szCs w:val="30"/>
        </w:rPr>
        <w:t>（二）政府采购支出情况。</w:t>
      </w:r>
    </w:p>
    <w:p w:rsidR="00005818" w:rsidRPr="00005818" w:rsidRDefault="00DC4E44" w:rsidP="00005818">
      <w:pPr>
        <w:spacing w:line="520" w:lineRule="exact"/>
        <w:ind w:firstLineChars="250" w:firstLine="750"/>
        <w:rPr>
          <w:rFonts w:ascii="仿宋" w:eastAsia="仿宋" w:hAnsi="仿宋" w:cs="仿宋_GB2312"/>
          <w:sz w:val="30"/>
          <w:szCs w:val="30"/>
        </w:rPr>
      </w:pPr>
      <w:r w:rsidRPr="00005818">
        <w:rPr>
          <w:rFonts w:ascii="仿宋" w:eastAsia="仿宋" w:hAnsi="仿宋" w:cs="仿宋_GB2312"/>
          <w:sz w:val="30"/>
          <w:szCs w:val="30"/>
        </w:rPr>
        <w:t xml:space="preserve">2015 </w:t>
      </w:r>
      <w:r w:rsidRPr="00005818">
        <w:rPr>
          <w:rFonts w:ascii="仿宋" w:eastAsia="仿宋" w:hAnsi="仿宋" w:cs="仿宋_GB2312" w:hint="eastAsia"/>
          <w:sz w:val="30"/>
          <w:szCs w:val="30"/>
        </w:rPr>
        <w:t>年政府采购支出总额</w:t>
      </w:r>
      <w:r w:rsidR="00B91FCF">
        <w:rPr>
          <w:rFonts w:ascii="仿宋" w:eastAsia="仿宋" w:hAnsi="仿宋" w:cs="仿宋_GB2312" w:hint="eastAsia"/>
          <w:sz w:val="30"/>
          <w:szCs w:val="30"/>
        </w:rPr>
        <w:t>55.88</w:t>
      </w:r>
      <w:r w:rsidRPr="00005818">
        <w:rPr>
          <w:rFonts w:ascii="仿宋" w:eastAsia="仿宋" w:hAnsi="仿宋" w:cs="仿宋_GB2312" w:hint="eastAsia"/>
          <w:sz w:val="30"/>
          <w:szCs w:val="30"/>
        </w:rPr>
        <w:t>万元，其中：政府采购货物支出</w:t>
      </w:r>
      <w:r w:rsidR="00B91FCF">
        <w:rPr>
          <w:rFonts w:ascii="仿宋" w:eastAsia="仿宋" w:hAnsi="仿宋" w:cs="仿宋_GB2312" w:hint="eastAsia"/>
          <w:sz w:val="30"/>
          <w:szCs w:val="30"/>
        </w:rPr>
        <w:t>55.88</w:t>
      </w:r>
      <w:r w:rsidRPr="00005818">
        <w:rPr>
          <w:rFonts w:ascii="仿宋" w:eastAsia="仿宋" w:hAnsi="仿宋" w:cs="仿宋_GB2312" w:hint="eastAsia"/>
          <w:sz w:val="30"/>
          <w:szCs w:val="30"/>
        </w:rPr>
        <w:t>万元</w:t>
      </w:r>
      <w:r w:rsidR="00005818">
        <w:rPr>
          <w:rFonts w:ascii="仿宋" w:eastAsia="仿宋" w:hAnsi="仿宋" w:cs="仿宋_GB2312" w:hint="eastAsia"/>
          <w:sz w:val="30"/>
          <w:szCs w:val="30"/>
        </w:rPr>
        <w:t>。</w:t>
      </w:r>
    </w:p>
    <w:p w:rsidR="00A116B5" w:rsidRPr="00005818" w:rsidRDefault="00DC4E44" w:rsidP="00005818">
      <w:pPr>
        <w:spacing w:line="520" w:lineRule="exact"/>
        <w:ind w:firstLineChars="200" w:firstLine="600"/>
        <w:rPr>
          <w:rFonts w:ascii="仿宋" w:eastAsia="仿宋" w:hAnsi="仿宋" w:cs="楷体_GB2312"/>
          <w:sz w:val="30"/>
          <w:szCs w:val="30"/>
        </w:rPr>
      </w:pPr>
      <w:r w:rsidRPr="00005818">
        <w:rPr>
          <w:rFonts w:ascii="仿宋" w:eastAsia="仿宋" w:hAnsi="仿宋" w:cs="楷体_GB2312" w:hint="eastAsia"/>
          <w:sz w:val="30"/>
          <w:szCs w:val="30"/>
        </w:rPr>
        <w:t>（三）国有资产占用情况。</w:t>
      </w:r>
    </w:p>
    <w:p w:rsidR="00A116B5" w:rsidRPr="00005818" w:rsidRDefault="00DC4E44" w:rsidP="00B91FCF">
      <w:pPr>
        <w:spacing w:line="520" w:lineRule="exact"/>
        <w:ind w:firstLineChars="200" w:firstLine="600"/>
        <w:rPr>
          <w:rFonts w:ascii="仿宋" w:eastAsia="仿宋" w:hAnsi="仿宋" w:cs="仿宋_GB2312"/>
          <w:sz w:val="30"/>
          <w:szCs w:val="30"/>
        </w:rPr>
      </w:pPr>
      <w:r w:rsidRPr="00005818">
        <w:rPr>
          <w:rFonts w:ascii="仿宋" w:eastAsia="仿宋" w:hAnsi="仿宋" w:cs="仿宋_GB2312" w:hint="eastAsia"/>
          <w:sz w:val="30"/>
          <w:szCs w:val="30"/>
        </w:rPr>
        <w:t>截至</w:t>
      </w:r>
      <w:r w:rsidRPr="00005818">
        <w:rPr>
          <w:rFonts w:ascii="仿宋" w:eastAsia="仿宋" w:hAnsi="仿宋" w:cs="仿宋_GB2312"/>
          <w:sz w:val="30"/>
          <w:szCs w:val="30"/>
        </w:rPr>
        <w:t xml:space="preserve">2015 </w:t>
      </w:r>
      <w:r w:rsidRPr="00005818">
        <w:rPr>
          <w:rFonts w:ascii="仿宋" w:eastAsia="仿宋" w:hAnsi="仿宋" w:cs="仿宋_GB2312" w:hint="eastAsia"/>
          <w:sz w:val="30"/>
          <w:szCs w:val="30"/>
        </w:rPr>
        <w:t>年</w:t>
      </w:r>
      <w:r w:rsidRPr="00005818">
        <w:rPr>
          <w:rFonts w:ascii="仿宋" w:eastAsia="仿宋" w:hAnsi="仿宋" w:cs="仿宋_GB2312"/>
          <w:sz w:val="30"/>
          <w:szCs w:val="30"/>
        </w:rPr>
        <w:t xml:space="preserve">12 </w:t>
      </w:r>
      <w:r w:rsidRPr="00005818">
        <w:rPr>
          <w:rFonts w:ascii="仿宋" w:eastAsia="仿宋" w:hAnsi="仿宋" w:cs="仿宋_GB2312" w:hint="eastAsia"/>
          <w:sz w:val="30"/>
          <w:szCs w:val="30"/>
        </w:rPr>
        <w:t>月</w:t>
      </w:r>
      <w:r w:rsidRPr="00005818">
        <w:rPr>
          <w:rFonts w:ascii="仿宋" w:eastAsia="仿宋" w:hAnsi="仿宋" w:cs="仿宋_GB2312"/>
          <w:sz w:val="30"/>
          <w:szCs w:val="30"/>
        </w:rPr>
        <w:t xml:space="preserve">31 </w:t>
      </w:r>
      <w:r w:rsidRPr="00005818">
        <w:rPr>
          <w:rFonts w:ascii="仿宋" w:eastAsia="仿宋" w:hAnsi="仿宋" w:cs="仿宋_GB2312" w:hint="eastAsia"/>
          <w:sz w:val="30"/>
          <w:szCs w:val="30"/>
        </w:rPr>
        <w:t>日，单位共有车辆1辆，其中，一般公务用车1辆。</w:t>
      </w:r>
    </w:p>
    <w:p w:rsidR="00A116B5" w:rsidRPr="00005818" w:rsidRDefault="00DC4E44" w:rsidP="00005818">
      <w:pPr>
        <w:spacing w:line="520" w:lineRule="exact"/>
        <w:ind w:firstLineChars="200" w:firstLine="600"/>
        <w:rPr>
          <w:rFonts w:ascii="仿宋" w:eastAsia="仿宋" w:hAnsi="仿宋" w:cs="楷体_GB2312"/>
          <w:sz w:val="30"/>
          <w:szCs w:val="30"/>
        </w:rPr>
      </w:pPr>
      <w:r w:rsidRPr="00005818">
        <w:rPr>
          <w:rFonts w:ascii="仿宋" w:eastAsia="仿宋" w:hAnsi="仿宋" w:cs="楷体_GB2312" w:hint="eastAsia"/>
          <w:sz w:val="30"/>
          <w:szCs w:val="30"/>
        </w:rPr>
        <w:t>（四）预算绩效管理工作开展情况。</w:t>
      </w:r>
    </w:p>
    <w:p w:rsidR="00A116B5" w:rsidRPr="00005818" w:rsidRDefault="00DC4E44" w:rsidP="00005818">
      <w:pPr>
        <w:spacing w:line="520" w:lineRule="exact"/>
        <w:ind w:firstLineChars="300" w:firstLine="900"/>
        <w:rPr>
          <w:rFonts w:ascii="仿宋" w:eastAsia="仿宋" w:hAnsi="仿宋" w:cs="楷体_GB2312"/>
          <w:sz w:val="30"/>
          <w:szCs w:val="30"/>
        </w:rPr>
      </w:pPr>
      <w:r w:rsidRPr="00005818">
        <w:rPr>
          <w:rFonts w:ascii="仿宋" w:eastAsia="仿宋" w:hAnsi="仿宋" w:cs="楷体_GB2312" w:hint="eastAsia"/>
          <w:sz w:val="30"/>
          <w:szCs w:val="30"/>
        </w:rPr>
        <w:t>2015年无预算绩效评价管理。</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lastRenderedPageBreak/>
        <w:t>五、名词解释</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1、财政拨款收入：指市财政当年拨付的资金。</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2、事业收入：</w:t>
      </w:r>
      <w:r>
        <w:rPr>
          <w:rFonts w:ascii="仿宋" w:eastAsia="仿宋" w:hAnsi="仿宋" w:hint="eastAsia"/>
          <w:color w:val="282828"/>
          <w:sz w:val="30"/>
          <w:szCs w:val="30"/>
        </w:rPr>
        <w:t>指事业单位开展专业业务活动及辅助活动所取得的收入。市公共资源交易中心</w:t>
      </w:r>
      <w:r>
        <w:rPr>
          <w:rFonts w:ascii="仿宋" w:eastAsia="仿宋" w:hAnsi="仿宋" w:hint="eastAsia"/>
          <w:sz w:val="30"/>
          <w:szCs w:val="30"/>
        </w:rPr>
        <w:t>对招投标活动中取得中标的企业（人）按</w:t>
      </w:r>
      <w:proofErr w:type="gramStart"/>
      <w:r>
        <w:rPr>
          <w:rFonts w:ascii="仿宋" w:eastAsia="仿宋" w:hAnsi="仿宋" w:hint="eastAsia"/>
          <w:sz w:val="30"/>
          <w:szCs w:val="30"/>
        </w:rPr>
        <w:t>市发改核准</w:t>
      </w:r>
      <w:proofErr w:type="gramEnd"/>
      <w:r>
        <w:rPr>
          <w:rFonts w:ascii="仿宋" w:eastAsia="仿宋" w:hAnsi="仿宋" w:hint="eastAsia"/>
          <w:sz w:val="30"/>
          <w:szCs w:val="30"/>
        </w:rPr>
        <w:t>的收费标准收取交易服务费。</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3、其他收入：指存款利息收入等。</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4、一般公共服务（类）政府办公厅（室）及相关机构事务（款）事业运行（项）：指用于保障单位正常运行、开展日常工作的基本支出。</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5、社会保障和就业（类）行政事业单位离退休（款）事业单位离退休（项）：指单位离退休人员的支出。</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6、医疗卫生与计划生育支出（类）医疗保障（款）事业单位医疗（项）：指单位职工社保支出。</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7、住房保障支出（类）住房改革支出（款）住房公积金（款）：指按照《住房公积金管理条例》的规定，由单位及其在职职工的长期住房储金。</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8、基本支出：指为保障单位正常运转、完成日常工作任务而发生的人员支出和公用支出。</w:t>
      </w:r>
    </w:p>
    <w:p w:rsidR="00A116B5" w:rsidRDefault="00DC4E44">
      <w:pPr>
        <w:spacing w:line="560" w:lineRule="atLeast"/>
        <w:ind w:firstLine="600"/>
        <w:rPr>
          <w:rFonts w:ascii="仿宋" w:eastAsia="仿宋" w:hAnsi="仿宋"/>
          <w:sz w:val="30"/>
          <w:szCs w:val="30"/>
        </w:rPr>
      </w:pPr>
      <w:r>
        <w:rPr>
          <w:rFonts w:ascii="仿宋" w:eastAsia="仿宋" w:hAnsi="仿宋" w:hint="eastAsia"/>
          <w:sz w:val="30"/>
          <w:szCs w:val="30"/>
        </w:rPr>
        <w:t>9、项目支出：指在基本支出之外为完成事业发展所发生的支出。</w:t>
      </w:r>
    </w:p>
    <w:p w:rsidR="00A116B5" w:rsidRDefault="00DC4E44">
      <w:pPr>
        <w:spacing w:line="560" w:lineRule="atLeast"/>
        <w:ind w:firstLine="600"/>
        <w:rPr>
          <w:rFonts w:ascii="仿宋" w:eastAsia="仿宋" w:hAnsi="仿宋" w:cs="仿宋_GB2312"/>
          <w:sz w:val="30"/>
          <w:szCs w:val="30"/>
        </w:rPr>
      </w:pPr>
      <w:r>
        <w:rPr>
          <w:rFonts w:ascii="仿宋" w:eastAsia="仿宋" w:hAnsi="仿宋" w:hint="eastAsia"/>
          <w:sz w:val="30"/>
          <w:szCs w:val="30"/>
        </w:rPr>
        <w:t>10、“三公”经费：纳入财政预算管理的“三公”经费，是指用财政拨款安排的因公出国（境）费、公务用车购置和公务接待费。</w:t>
      </w:r>
      <w:r>
        <w:rPr>
          <w:rFonts w:ascii="仿宋" w:eastAsia="仿宋" w:hAnsi="仿宋" w:cs="仿宋_GB2312" w:hint="eastAsia"/>
          <w:sz w:val="30"/>
          <w:szCs w:val="30"/>
        </w:rPr>
        <w:t>其中，因公出国（境）</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单位公务出国（境）的国际旅费、国外城市间交通费、住宿费、伙食费、培训费、公杂费等支出；公务用车购置及运行</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单位公务用车车辆购置支出（</w:t>
      </w:r>
      <w:proofErr w:type="gramStart"/>
      <w:r>
        <w:rPr>
          <w:rFonts w:ascii="仿宋" w:eastAsia="仿宋" w:hAnsi="仿宋" w:cs="仿宋_GB2312" w:hint="eastAsia"/>
          <w:sz w:val="30"/>
          <w:szCs w:val="30"/>
        </w:rPr>
        <w:t>含车辆</w:t>
      </w:r>
      <w:proofErr w:type="gramEnd"/>
      <w:r>
        <w:rPr>
          <w:rFonts w:ascii="仿宋" w:eastAsia="仿宋" w:hAnsi="仿宋" w:cs="仿宋_GB2312" w:hint="eastAsia"/>
          <w:sz w:val="30"/>
          <w:szCs w:val="30"/>
        </w:rPr>
        <w:t>购置税）及租用费、燃料费、维修费、过路过桥费、保险费、安全奖励费用等支出；公务接待</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单位按规定开支的各类公务接待（含外宾接待）支出。</w:t>
      </w:r>
    </w:p>
    <w:p w:rsidR="00A116B5" w:rsidRDefault="00DC4E44">
      <w:pPr>
        <w:widowControl/>
        <w:spacing w:line="560" w:lineRule="atLeast"/>
        <w:ind w:firstLine="640"/>
        <w:jc w:val="left"/>
        <w:rPr>
          <w:rFonts w:ascii="仿宋" w:eastAsia="仿宋" w:hAnsi="仿宋" w:cs="宋体"/>
          <w:color w:val="282828"/>
          <w:sz w:val="30"/>
          <w:szCs w:val="30"/>
        </w:rPr>
      </w:pPr>
      <w:r>
        <w:rPr>
          <w:rFonts w:ascii="仿宋" w:eastAsia="仿宋" w:hAnsi="仿宋" w:cs="宋体" w:hint="eastAsia"/>
          <w:color w:val="282828"/>
          <w:sz w:val="30"/>
          <w:szCs w:val="30"/>
        </w:rPr>
        <w:lastRenderedPageBreak/>
        <w:t>11、年末结转和结余：指本年度或以前年度预算安排、因客观条件发生变化无法按原计划实施，需要延迟到以后年度按有关规定继续使用的资金。</w:t>
      </w:r>
    </w:p>
    <w:p w:rsidR="00A116B5" w:rsidRDefault="00A116B5">
      <w:pPr>
        <w:spacing w:line="560" w:lineRule="atLeast"/>
        <w:ind w:firstLine="600"/>
        <w:rPr>
          <w:rFonts w:ascii="仿宋" w:eastAsia="仿宋" w:hAnsi="仿宋" w:cs="仿宋_GB2312"/>
          <w:sz w:val="30"/>
          <w:szCs w:val="30"/>
        </w:rPr>
      </w:pPr>
    </w:p>
    <w:p w:rsidR="00A116B5" w:rsidRDefault="00A116B5">
      <w:pPr>
        <w:spacing w:line="560" w:lineRule="atLeast"/>
        <w:ind w:firstLine="4800"/>
        <w:rPr>
          <w:rFonts w:ascii="仿宋" w:eastAsia="仿宋" w:hAnsi="仿宋"/>
          <w:sz w:val="30"/>
          <w:szCs w:val="30"/>
        </w:rPr>
      </w:pPr>
    </w:p>
    <w:p w:rsidR="00A116B5" w:rsidRDefault="00A116B5">
      <w:pPr>
        <w:spacing w:line="560" w:lineRule="atLeast"/>
        <w:ind w:firstLine="4800"/>
        <w:rPr>
          <w:rFonts w:ascii="仿宋" w:eastAsia="仿宋" w:hAnsi="仿宋"/>
          <w:sz w:val="30"/>
          <w:szCs w:val="30"/>
        </w:rPr>
      </w:pPr>
    </w:p>
    <w:p w:rsidR="00A116B5" w:rsidRDefault="00A116B5">
      <w:pPr>
        <w:spacing w:line="560" w:lineRule="atLeast"/>
        <w:ind w:firstLine="4800"/>
        <w:rPr>
          <w:rFonts w:ascii="仿宋" w:eastAsia="仿宋" w:hAnsi="仿宋"/>
          <w:sz w:val="30"/>
          <w:szCs w:val="30"/>
        </w:rPr>
      </w:pPr>
    </w:p>
    <w:p w:rsidR="00A116B5" w:rsidRDefault="00A116B5">
      <w:pPr>
        <w:spacing w:line="560" w:lineRule="atLeast"/>
        <w:ind w:firstLine="4800"/>
        <w:rPr>
          <w:rFonts w:ascii="仿宋" w:eastAsia="仿宋" w:hAnsi="仿宋"/>
          <w:sz w:val="30"/>
          <w:szCs w:val="30"/>
        </w:rPr>
      </w:pPr>
    </w:p>
    <w:p w:rsidR="00A116B5" w:rsidRDefault="00DC4E44">
      <w:pPr>
        <w:spacing w:line="560" w:lineRule="atLeast"/>
        <w:ind w:firstLine="4800"/>
        <w:rPr>
          <w:rFonts w:ascii="仿宋" w:eastAsia="仿宋" w:hAnsi="仿宋"/>
          <w:sz w:val="30"/>
          <w:szCs w:val="30"/>
        </w:rPr>
      </w:pPr>
      <w:r>
        <w:rPr>
          <w:rFonts w:ascii="仿宋" w:eastAsia="仿宋" w:hAnsi="仿宋" w:hint="eastAsia"/>
          <w:sz w:val="30"/>
          <w:szCs w:val="30"/>
        </w:rPr>
        <w:t>梅州市公共资源交易中心</w:t>
      </w:r>
    </w:p>
    <w:p w:rsidR="00A116B5" w:rsidRDefault="00DC4E44">
      <w:pPr>
        <w:spacing w:line="560" w:lineRule="atLeast"/>
        <w:ind w:firstLine="5100"/>
        <w:rPr>
          <w:rFonts w:ascii="仿宋" w:eastAsia="仿宋" w:hAnsi="仿宋"/>
          <w:sz w:val="30"/>
          <w:szCs w:val="30"/>
        </w:rPr>
      </w:pPr>
      <w:r>
        <w:rPr>
          <w:rFonts w:ascii="仿宋" w:eastAsia="仿宋" w:hAnsi="仿宋" w:hint="eastAsia"/>
          <w:sz w:val="30"/>
          <w:szCs w:val="30"/>
        </w:rPr>
        <w:t>2016年10月13日</w:t>
      </w:r>
    </w:p>
    <w:sectPr w:rsidR="00A116B5">
      <w:endnotePr>
        <w:numFmt w:val="decimal"/>
      </w:endnotePr>
      <w:pgSz w:w="11906" w:h="16838"/>
      <w:pgMar w:top="1474" w:right="1134"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MS Mincho"/>
    <w:charset w:val="86"/>
    <w:family w:val="modern"/>
    <w:pitch w:val="default"/>
  </w:font>
  <w:font w:name="楷体_GB2312">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characterSpacingControl w:val="doNotCompress"/>
  <w:endnotePr>
    <w:numFmt w:val="decimal"/>
  </w:endnotePr>
  <w:compat>
    <w:doNotExpandShiftReturn/>
    <w:useFELayout/>
    <w:compatSetting w:name="compatibilityMode" w:uri="http://schemas.microsoft.com/office/word" w:val="12"/>
  </w:compat>
  <w:rsids>
    <w:rsidRoot w:val="00A116B5"/>
    <w:rsid w:val="00005818"/>
    <w:rsid w:val="000614E6"/>
    <w:rsid w:val="001067E0"/>
    <w:rsid w:val="00921D7F"/>
    <w:rsid w:val="00951E8E"/>
    <w:rsid w:val="00A116B5"/>
    <w:rsid w:val="00B84BBB"/>
    <w:rsid w:val="00B91FCF"/>
    <w:rsid w:val="00D15D7B"/>
    <w:rsid w:val="00DC4E44"/>
    <w:rsid w:val="00E8608B"/>
    <w:rsid w:val="00F9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4">
    <w:name w:val="footer"/>
    <w:qFormat/>
    <w:pPr>
      <w:tabs>
        <w:tab w:val="center" w:pos="4153"/>
        <w:tab w:val="right" w:pos="8306"/>
      </w:tabs>
      <w:jc w:val="left"/>
    </w:pPr>
    <w:rPr>
      <w:sz w:val="18"/>
      <w:szCs w:val="18"/>
    </w:rPr>
  </w:style>
  <w:style w:type="paragraph" w:styleId="a5">
    <w:name w:val="Balloon Text"/>
    <w:qFormat/>
    <w:rPr>
      <w:sz w:val="18"/>
      <w:szCs w:val="18"/>
    </w:rPr>
  </w:style>
  <w:style w:type="character" w:customStyle="1" w:styleId="Char">
    <w:name w:val="页眉 Char"/>
    <w:rPr>
      <w:sz w:val="18"/>
      <w:szCs w:val="18"/>
    </w:rPr>
  </w:style>
  <w:style w:type="character" w:customStyle="1" w:styleId="Char0">
    <w:name w:val="页脚 Char"/>
    <w:rPr>
      <w:sz w:val="18"/>
      <w:szCs w:val="18"/>
    </w:rPr>
  </w:style>
  <w:style w:type="character" w:customStyle="1" w:styleId="Char1">
    <w:name w:val="批注框文本 Cha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4">
    <w:name w:val="footer"/>
    <w:qFormat/>
    <w:pPr>
      <w:tabs>
        <w:tab w:val="center" w:pos="4153"/>
        <w:tab w:val="right" w:pos="8306"/>
      </w:tabs>
      <w:jc w:val="left"/>
    </w:pPr>
    <w:rPr>
      <w:sz w:val="18"/>
      <w:szCs w:val="18"/>
    </w:rPr>
  </w:style>
  <w:style w:type="paragraph" w:styleId="a5">
    <w:name w:val="Balloon Text"/>
    <w:qFormat/>
    <w:rPr>
      <w:sz w:val="18"/>
      <w:szCs w:val="18"/>
    </w:rPr>
  </w:style>
  <w:style w:type="character" w:customStyle="1" w:styleId="Char">
    <w:name w:val="页眉 Char"/>
    <w:rPr>
      <w:sz w:val="18"/>
      <w:szCs w:val="18"/>
    </w:rPr>
  </w:style>
  <w:style w:type="character" w:customStyle="1" w:styleId="Char0">
    <w:name w:val="页脚 Char"/>
    <w:rPr>
      <w:sz w:val="18"/>
      <w:szCs w:val="18"/>
    </w:rPr>
  </w:style>
  <w:style w:type="character" w:customStyle="1" w:styleId="Char1">
    <w:name w:val="批注框文本 Cha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2.xls"/><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Microsoft_Excel_97-2003____4.xls"/><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Microsoft_Excel_97-2003____6.xls"/><Relationship Id="rId1" Type="http://schemas.openxmlformats.org/officeDocument/2006/relationships/styles" Target="styles.xml"/><Relationship Id="rId6" Type="http://schemas.openxmlformats.org/officeDocument/2006/relationships/oleObject" Target="embeddings/Microsoft_Excel_97-2003____1.xls"/><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Microsoft_Excel_97-2003____3.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Excel_97-2003____5.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498</Words>
  <Characters>2843</Characters>
  <Application>Microsoft Office Word</Application>
  <DocSecurity>0</DocSecurity>
  <Lines>23</Lines>
  <Paragraphs>6</Paragraphs>
  <ScaleCrop>false</ScaleCrop>
  <Company>Chinese ORG</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11</cp:revision>
  <cp:lastPrinted>2016-10-28T02:38:00Z</cp:lastPrinted>
  <dcterms:created xsi:type="dcterms:W3CDTF">2016-10-25T01:52:00Z</dcterms:created>
  <dcterms:modified xsi:type="dcterms:W3CDTF">2016-10-28T02:38:00Z</dcterms:modified>
</cp:coreProperties>
</file>