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FF" w:rsidRDefault="00B129FF" w:rsidP="003E7DD8">
      <w:pPr>
        <w:autoSpaceDE w:val="0"/>
        <w:autoSpaceDN w:val="0"/>
        <w:adjustRightInd w:val="0"/>
        <w:spacing w:line="520" w:lineRule="exact"/>
        <w:jc w:val="center"/>
        <w:rPr>
          <w:rFonts w:ascii="黑体" w:eastAsia="黑体" w:cs="Times New Roman"/>
          <w:b/>
          <w:bCs/>
          <w:kern w:val="0"/>
        </w:rPr>
      </w:pPr>
    </w:p>
    <w:p w:rsidR="00B129FF" w:rsidRDefault="00B129FF" w:rsidP="003E7DD8">
      <w:pPr>
        <w:autoSpaceDE w:val="0"/>
        <w:autoSpaceDN w:val="0"/>
        <w:adjustRightInd w:val="0"/>
        <w:spacing w:line="520" w:lineRule="exact"/>
        <w:jc w:val="center"/>
        <w:rPr>
          <w:rFonts w:ascii="黑体" w:eastAsia="黑体" w:cs="Times New Roman"/>
          <w:b/>
          <w:bCs/>
          <w:kern w:val="0"/>
        </w:rPr>
      </w:pPr>
    </w:p>
    <w:p w:rsidR="00B129FF" w:rsidRDefault="00B129FF" w:rsidP="003E7DD8">
      <w:pPr>
        <w:autoSpaceDE w:val="0"/>
        <w:autoSpaceDN w:val="0"/>
        <w:adjustRightInd w:val="0"/>
        <w:spacing w:line="520" w:lineRule="exact"/>
        <w:jc w:val="center"/>
        <w:rPr>
          <w:rFonts w:ascii="黑体" w:eastAsia="黑体" w:cs="Times New Roman"/>
          <w:b/>
          <w:bCs/>
          <w:kern w:val="0"/>
        </w:rPr>
      </w:pPr>
    </w:p>
    <w:p w:rsidR="00B129FF" w:rsidRDefault="00B129FF" w:rsidP="003E7DD8">
      <w:pPr>
        <w:autoSpaceDE w:val="0"/>
        <w:autoSpaceDN w:val="0"/>
        <w:adjustRightInd w:val="0"/>
        <w:spacing w:line="520" w:lineRule="exact"/>
        <w:jc w:val="center"/>
        <w:rPr>
          <w:rFonts w:ascii="黑体" w:eastAsia="黑体" w:cs="Times New Roman"/>
          <w:b/>
          <w:bCs/>
          <w:kern w:val="0"/>
        </w:rPr>
      </w:pPr>
    </w:p>
    <w:p w:rsidR="00B129FF" w:rsidRDefault="00B129FF" w:rsidP="003E7DD8">
      <w:pPr>
        <w:autoSpaceDE w:val="0"/>
        <w:autoSpaceDN w:val="0"/>
        <w:adjustRightInd w:val="0"/>
        <w:spacing w:line="520" w:lineRule="exact"/>
        <w:jc w:val="center"/>
        <w:rPr>
          <w:rFonts w:ascii="黑体" w:eastAsia="黑体" w:cs="Times New Roman"/>
          <w:b/>
          <w:bCs/>
          <w:kern w:val="0"/>
        </w:rPr>
      </w:pPr>
    </w:p>
    <w:p w:rsidR="00B129FF" w:rsidRPr="008714B2" w:rsidRDefault="00B129FF" w:rsidP="008714B2">
      <w:pPr>
        <w:autoSpaceDE w:val="0"/>
        <w:autoSpaceDN w:val="0"/>
        <w:adjustRightInd w:val="0"/>
        <w:spacing w:line="1000" w:lineRule="exact"/>
        <w:jc w:val="center"/>
        <w:rPr>
          <w:rFonts w:ascii="黑体" w:eastAsia="黑体" w:cs="Times New Roman"/>
          <w:b/>
          <w:bCs/>
          <w:kern w:val="0"/>
          <w:sz w:val="84"/>
          <w:szCs w:val="84"/>
        </w:rPr>
      </w:pPr>
      <w:r w:rsidRPr="008714B2">
        <w:rPr>
          <w:rFonts w:ascii="黑体" w:eastAsia="黑体" w:cs="黑体"/>
          <w:b/>
          <w:bCs/>
          <w:kern w:val="0"/>
          <w:sz w:val="84"/>
          <w:szCs w:val="84"/>
        </w:rPr>
        <w:t>2015</w:t>
      </w:r>
      <w:r w:rsidRPr="008714B2">
        <w:rPr>
          <w:rFonts w:ascii="黑体" w:eastAsia="黑体" w:cs="黑体" w:hint="eastAsia"/>
          <w:b/>
          <w:bCs/>
          <w:kern w:val="0"/>
          <w:sz w:val="84"/>
          <w:szCs w:val="84"/>
        </w:rPr>
        <w:t>年度</w:t>
      </w:r>
    </w:p>
    <w:p w:rsidR="00B129FF" w:rsidRPr="008714B2" w:rsidRDefault="00B129FF" w:rsidP="008714B2">
      <w:pPr>
        <w:autoSpaceDE w:val="0"/>
        <w:autoSpaceDN w:val="0"/>
        <w:adjustRightInd w:val="0"/>
        <w:spacing w:line="1000" w:lineRule="exact"/>
        <w:jc w:val="center"/>
        <w:rPr>
          <w:rFonts w:ascii="黑体" w:eastAsia="黑体" w:cs="Times New Roman"/>
          <w:b/>
          <w:bCs/>
          <w:kern w:val="0"/>
          <w:sz w:val="84"/>
          <w:szCs w:val="84"/>
        </w:rPr>
      </w:pPr>
    </w:p>
    <w:p w:rsidR="00B129FF" w:rsidRPr="008714B2" w:rsidRDefault="00B129FF" w:rsidP="008714B2">
      <w:pPr>
        <w:autoSpaceDE w:val="0"/>
        <w:autoSpaceDN w:val="0"/>
        <w:adjustRightInd w:val="0"/>
        <w:spacing w:line="1000" w:lineRule="exact"/>
        <w:jc w:val="center"/>
        <w:rPr>
          <w:rFonts w:ascii="黑体" w:eastAsia="黑体" w:cs="Times New Roman"/>
          <w:b/>
          <w:bCs/>
          <w:kern w:val="0"/>
          <w:sz w:val="84"/>
          <w:szCs w:val="84"/>
        </w:rPr>
      </w:pPr>
      <w:r w:rsidRPr="008714B2">
        <w:rPr>
          <w:rFonts w:ascii="黑体" w:eastAsia="黑体" w:cs="黑体" w:hint="eastAsia"/>
          <w:b/>
          <w:bCs/>
          <w:kern w:val="0"/>
          <w:sz w:val="84"/>
          <w:szCs w:val="84"/>
        </w:rPr>
        <w:t>市城乡规划局部门决算</w:t>
      </w:r>
    </w:p>
    <w:p w:rsidR="00B129FF" w:rsidRPr="008714B2" w:rsidRDefault="00B129FF" w:rsidP="008714B2">
      <w:pPr>
        <w:autoSpaceDE w:val="0"/>
        <w:autoSpaceDN w:val="0"/>
        <w:adjustRightInd w:val="0"/>
        <w:spacing w:line="1000" w:lineRule="exact"/>
        <w:jc w:val="center"/>
        <w:rPr>
          <w:rFonts w:ascii="黑体" w:eastAsia="黑体" w:cs="Times New Roman"/>
          <w:b/>
          <w:bCs/>
          <w:kern w:val="0"/>
          <w:sz w:val="84"/>
          <w:szCs w:val="84"/>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Default="00B129FF" w:rsidP="007D6D51">
      <w:pPr>
        <w:autoSpaceDE w:val="0"/>
        <w:autoSpaceDN w:val="0"/>
        <w:adjustRightInd w:val="0"/>
        <w:spacing w:line="520" w:lineRule="exact"/>
        <w:jc w:val="center"/>
        <w:rPr>
          <w:rFonts w:ascii="黑体" w:eastAsia="黑体" w:cs="Times New Roman"/>
          <w:b/>
          <w:bCs/>
          <w:kern w:val="0"/>
        </w:rPr>
      </w:pPr>
    </w:p>
    <w:p w:rsidR="00B129FF" w:rsidRPr="000D7F83" w:rsidRDefault="00B129FF" w:rsidP="007D6D51">
      <w:pPr>
        <w:autoSpaceDE w:val="0"/>
        <w:autoSpaceDN w:val="0"/>
        <w:adjustRightInd w:val="0"/>
        <w:spacing w:line="520" w:lineRule="exact"/>
        <w:jc w:val="center"/>
        <w:rPr>
          <w:rFonts w:ascii="方正小标宋简体" w:eastAsia="方正小标宋简体" w:cs="Times New Roman"/>
          <w:b/>
          <w:bCs/>
          <w:kern w:val="0"/>
          <w:sz w:val="44"/>
          <w:szCs w:val="44"/>
        </w:rPr>
      </w:pPr>
      <w:r w:rsidRPr="000D7F83">
        <w:rPr>
          <w:rFonts w:ascii="方正小标宋简体" w:eastAsia="方正小标宋简体" w:cs="方正小标宋简体" w:hint="eastAsia"/>
          <w:b/>
          <w:bCs/>
          <w:kern w:val="0"/>
          <w:sz w:val="44"/>
          <w:szCs w:val="44"/>
        </w:rPr>
        <w:t>目</w:t>
      </w:r>
      <w:r w:rsidRPr="000D7F83">
        <w:rPr>
          <w:rFonts w:ascii="方正小标宋简体" w:eastAsia="方正小标宋简体" w:cs="方正小标宋简体"/>
          <w:b/>
          <w:bCs/>
          <w:kern w:val="0"/>
          <w:sz w:val="44"/>
          <w:szCs w:val="44"/>
        </w:rPr>
        <w:t xml:space="preserve"> </w:t>
      </w:r>
      <w:r w:rsidRPr="000D7F83">
        <w:rPr>
          <w:rFonts w:ascii="方正小标宋简体" w:eastAsia="方正小标宋简体" w:cs="方正小标宋简体" w:hint="eastAsia"/>
          <w:b/>
          <w:bCs/>
          <w:kern w:val="0"/>
          <w:sz w:val="44"/>
          <w:szCs w:val="44"/>
        </w:rPr>
        <w:t>录</w:t>
      </w:r>
    </w:p>
    <w:p w:rsidR="00B129FF" w:rsidRPr="00123CB5" w:rsidRDefault="00B129FF" w:rsidP="007D6D51">
      <w:pPr>
        <w:autoSpaceDE w:val="0"/>
        <w:autoSpaceDN w:val="0"/>
        <w:adjustRightInd w:val="0"/>
        <w:spacing w:line="520" w:lineRule="exact"/>
        <w:jc w:val="center"/>
        <w:rPr>
          <w:rFonts w:ascii="黑体" w:eastAsia="黑体" w:cs="Times New Roman"/>
          <w:b/>
          <w:bCs/>
          <w:kern w:val="0"/>
          <w:sz w:val="52"/>
          <w:szCs w:val="52"/>
        </w:rPr>
      </w:pPr>
    </w:p>
    <w:p w:rsidR="00B129FF" w:rsidRPr="00123CB5" w:rsidRDefault="00B129FF" w:rsidP="00572479">
      <w:pPr>
        <w:autoSpaceDE w:val="0"/>
        <w:autoSpaceDN w:val="0"/>
        <w:adjustRightInd w:val="0"/>
        <w:spacing w:line="520" w:lineRule="exact"/>
        <w:ind w:firstLineChars="200" w:firstLine="562"/>
        <w:jc w:val="left"/>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第一部分</w:t>
      </w:r>
      <w:r w:rsidRPr="00123CB5">
        <w:rPr>
          <w:rFonts w:ascii="楷体_GB2312" w:eastAsia="楷体_GB2312" w:cs="楷体_GB2312"/>
          <w:b/>
          <w:bCs/>
          <w:kern w:val="0"/>
          <w:sz w:val="28"/>
          <w:szCs w:val="28"/>
        </w:rPr>
        <w:t xml:space="preserve"> </w:t>
      </w:r>
      <w:r w:rsidRPr="00123CB5">
        <w:rPr>
          <w:rFonts w:ascii="楷体_GB2312" w:eastAsia="楷体_GB2312" w:cs="楷体_GB2312" w:hint="eastAsia"/>
          <w:b/>
          <w:bCs/>
          <w:kern w:val="0"/>
          <w:sz w:val="28"/>
          <w:szCs w:val="28"/>
        </w:rPr>
        <w:t>市城乡规划局概况</w:t>
      </w:r>
    </w:p>
    <w:p w:rsidR="00B129FF" w:rsidRPr="00123CB5" w:rsidRDefault="00B129FF" w:rsidP="00572479">
      <w:pPr>
        <w:autoSpaceDE w:val="0"/>
        <w:autoSpaceDN w:val="0"/>
        <w:adjustRightInd w:val="0"/>
        <w:spacing w:line="520" w:lineRule="exact"/>
        <w:ind w:firstLineChars="200" w:firstLine="56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一、主要职能</w:t>
      </w:r>
    </w:p>
    <w:p w:rsidR="00B129FF" w:rsidRPr="00123CB5" w:rsidRDefault="00B129FF" w:rsidP="00572479">
      <w:pPr>
        <w:autoSpaceDE w:val="0"/>
        <w:autoSpaceDN w:val="0"/>
        <w:adjustRightInd w:val="0"/>
        <w:spacing w:line="520" w:lineRule="exact"/>
        <w:ind w:firstLineChars="200" w:firstLine="56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二、部门决算单位构成</w:t>
      </w:r>
    </w:p>
    <w:p w:rsidR="00B129FF" w:rsidRPr="00123CB5" w:rsidRDefault="00B129FF" w:rsidP="00572479">
      <w:pPr>
        <w:autoSpaceDE w:val="0"/>
        <w:autoSpaceDN w:val="0"/>
        <w:adjustRightInd w:val="0"/>
        <w:spacing w:line="520" w:lineRule="exact"/>
        <w:ind w:firstLineChars="200" w:firstLine="562"/>
        <w:jc w:val="left"/>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第二部分</w:t>
      </w:r>
      <w:r w:rsidRPr="00123CB5">
        <w:rPr>
          <w:rFonts w:ascii="楷体_GB2312" w:eastAsia="楷体_GB2312" w:cs="楷体_GB2312"/>
          <w:b/>
          <w:bCs/>
          <w:kern w:val="0"/>
          <w:sz w:val="28"/>
          <w:szCs w:val="28"/>
        </w:rPr>
        <w:t xml:space="preserve"> </w:t>
      </w:r>
      <w:r w:rsidRPr="00123CB5">
        <w:rPr>
          <w:rFonts w:ascii="楷体_GB2312" w:eastAsia="楷体_GB2312" w:cs="楷体_GB2312" w:hint="eastAsia"/>
          <w:b/>
          <w:bCs/>
          <w:kern w:val="0"/>
          <w:sz w:val="28"/>
          <w:szCs w:val="28"/>
        </w:rPr>
        <w:t>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年度部门决算表</w:t>
      </w:r>
    </w:p>
    <w:p w:rsidR="00B129FF" w:rsidRPr="00123CB5" w:rsidRDefault="00B129FF" w:rsidP="00572479">
      <w:pPr>
        <w:autoSpaceDE w:val="0"/>
        <w:autoSpaceDN w:val="0"/>
        <w:adjustRightInd w:val="0"/>
        <w:spacing w:line="520" w:lineRule="exact"/>
        <w:ind w:firstLineChars="200" w:firstLine="56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一、收入支出决算总表</w:t>
      </w:r>
    </w:p>
    <w:p w:rsidR="00B129FF" w:rsidRPr="00123CB5" w:rsidRDefault="00B129FF" w:rsidP="00572479">
      <w:pPr>
        <w:autoSpaceDE w:val="0"/>
        <w:autoSpaceDN w:val="0"/>
        <w:adjustRightInd w:val="0"/>
        <w:spacing w:line="520" w:lineRule="exact"/>
        <w:ind w:firstLineChars="200" w:firstLine="56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二、收入决算表</w:t>
      </w:r>
    </w:p>
    <w:p w:rsidR="00B129FF" w:rsidRPr="00123CB5" w:rsidRDefault="00B129FF" w:rsidP="00572479">
      <w:pPr>
        <w:autoSpaceDE w:val="0"/>
        <w:autoSpaceDN w:val="0"/>
        <w:adjustRightInd w:val="0"/>
        <w:spacing w:line="520" w:lineRule="exact"/>
        <w:ind w:firstLineChars="200" w:firstLine="56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三、支出决算表</w:t>
      </w:r>
    </w:p>
    <w:p w:rsidR="00B129FF" w:rsidRPr="00123CB5" w:rsidRDefault="00B129FF" w:rsidP="00572479">
      <w:pPr>
        <w:autoSpaceDE w:val="0"/>
        <w:autoSpaceDN w:val="0"/>
        <w:adjustRightInd w:val="0"/>
        <w:spacing w:line="520" w:lineRule="exact"/>
        <w:ind w:firstLineChars="200" w:firstLine="56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四、财政拨款收入支出决算总表</w:t>
      </w:r>
    </w:p>
    <w:p w:rsidR="00B129FF" w:rsidRPr="00123CB5" w:rsidRDefault="00B129FF" w:rsidP="00572479">
      <w:pPr>
        <w:autoSpaceDE w:val="0"/>
        <w:autoSpaceDN w:val="0"/>
        <w:adjustRightInd w:val="0"/>
        <w:spacing w:line="520" w:lineRule="exact"/>
        <w:ind w:firstLineChars="200" w:firstLine="56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五、一般公共预算财政拨款支出决算表</w:t>
      </w:r>
    </w:p>
    <w:p w:rsidR="00B129FF" w:rsidRPr="00123CB5" w:rsidRDefault="00B129FF" w:rsidP="00572479">
      <w:pPr>
        <w:autoSpaceDE w:val="0"/>
        <w:autoSpaceDN w:val="0"/>
        <w:adjustRightInd w:val="0"/>
        <w:spacing w:line="520" w:lineRule="exact"/>
        <w:ind w:firstLineChars="200" w:firstLine="56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六、一般公共预算财政拨款基本支出决算表</w:t>
      </w:r>
    </w:p>
    <w:p w:rsidR="00B129FF" w:rsidRPr="00123CB5" w:rsidRDefault="00B129FF" w:rsidP="00572479">
      <w:pPr>
        <w:autoSpaceDE w:val="0"/>
        <w:autoSpaceDN w:val="0"/>
        <w:adjustRightInd w:val="0"/>
        <w:spacing w:line="520" w:lineRule="exact"/>
        <w:ind w:firstLineChars="200" w:firstLine="56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七、一般公共预算财政拨款“三公”经费支出决算表</w:t>
      </w:r>
    </w:p>
    <w:p w:rsidR="00B129FF" w:rsidRPr="00123CB5" w:rsidRDefault="00B129FF" w:rsidP="00572479">
      <w:pPr>
        <w:autoSpaceDE w:val="0"/>
        <w:autoSpaceDN w:val="0"/>
        <w:adjustRightInd w:val="0"/>
        <w:spacing w:line="520" w:lineRule="exact"/>
        <w:ind w:firstLineChars="200" w:firstLine="56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八、政府性基金预算财政拨款收入支出决算表</w:t>
      </w:r>
    </w:p>
    <w:p w:rsidR="00B129FF" w:rsidRPr="00123CB5" w:rsidRDefault="00B129FF" w:rsidP="00572479">
      <w:pPr>
        <w:autoSpaceDE w:val="0"/>
        <w:autoSpaceDN w:val="0"/>
        <w:adjustRightInd w:val="0"/>
        <w:spacing w:line="520" w:lineRule="exact"/>
        <w:ind w:firstLineChars="200" w:firstLine="562"/>
        <w:jc w:val="left"/>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第三部分</w:t>
      </w:r>
      <w:r>
        <w:rPr>
          <w:rFonts w:ascii="楷体_GB2312" w:eastAsia="楷体_GB2312" w:cs="楷体_GB2312"/>
          <w:b/>
          <w:bCs/>
          <w:kern w:val="0"/>
          <w:sz w:val="28"/>
          <w:szCs w:val="28"/>
        </w:rPr>
        <w:t xml:space="preserve"> </w:t>
      </w:r>
      <w:r w:rsidRPr="00123CB5">
        <w:rPr>
          <w:rFonts w:ascii="楷体_GB2312" w:eastAsia="楷体_GB2312" w:cs="楷体_GB2312" w:hint="eastAsia"/>
          <w:b/>
          <w:bCs/>
          <w:kern w:val="0"/>
          <w:sz w:val="28"/>
          <w:szCs w:val="28"/>
        </w:rPr>
        <w:t>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年度部门决算情况说明</w:t>
      </w:r>
    </w:p>
    <w:p w:rsidR="00B129FF" w:rsidRPr="00123CB5" w:rsidRDefault="00B129FF" w:rsidP="00572479">
      <w:pPr>
        <w:autoSpaceDE w:val="0"/>
        <w:autoSpaceDN w:val="0"/>
        <w:adjustRightInd w:val="0"/>
        <w:spacing w:line="520" w:lineRule="exact"/>
        <w:ind w:firstLineChars="200" w:firstLine="562"/>
        <w:jc w:val="left"/>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第四部分</w:t>
      </w:r>
      <w:r w:rsidRPr="00123CB5">
        <w:rPr>
          <w:rFonts w:ascii="楷体_GB2312" w:eastAsia="楷体_GB2312" w:cs="楷体_GB2312"/>
          <w:b/>
          <w:bCs/>
          <w:kern w:val="0"/>
          <w:sz w:val="28"/>
          <w:szCs w:val="28"/>
        </w:rPr>
        <w:t xml:space="preserve"> </w:t>
      </w:r>
      <w:r w:rsidRPr="00123CB5">
        <w:rPr>
          <w:rFonts w:ascii="楷体_GB2312" w:eastAsia="楷体_GB2312" w:cs="楷体_GB2312" w:hint="eastAsia"/>
          <w:b/>
          <w:bCs/>
          <w:kern w:val="0"/>
          <w:sz w:val="28"/>
          <w:szCs w:val="28"/>
        </w:rPr>
        <w:t>名词解释</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572479">
      <w:pPr>
        <w:autoSpaceDE w:val="0"/>
        <w:autoSpaceDN w:val="0"/>
        <w:adjustRightInd w:val="0"/>
        <w:spacing w:line="520" w:lineRule="exact"/>
        <w:ind w:firstLineChars="200" w:firstLine="880"/>
        <w:jc w:val="center"/>
        <w:rPr>
          <w:rFonts w:ascii="方正小标宋简体" w:eastAsia="方正小标宋简体" w:cs="Times New Roman"/>
          <w:kern w:val="0"/>
          <w:sz w:val="44"/>
          <w:szCs w:val="44"/>
        </w:rPr>
      </w:pPr>
      <w:r w:rsidRPr="008714B2">
        <w:rPr>
          <w:rFonts w:ascii="方正小标宋简体" w:eastAsia="方正小标宋简体" w:cs="方正小标宋简体" w:hint="eastAsia"/>
          <w:kern w:val="0"/>
          <w:sz w:val="44"/>
          <w:szCs w:val="44"/>
        </w:rPr>
        <w:t>第一部分</w:t>
      </w:r>
    </w:p>
    <w:p w:rsidR="00B129FF" w:rsidRPr="008714B2" w:rsidRDefault="00B129FF" w:rsidP="00572479">
      <w:pPr>
        <w:autoSpaceDE w:val="0"/>
        <w:autoSpaceDN w:val="0"/>
        <w:adjustRightInd w:val="0"/>
        <w:spacing w:line="520" w:lineRule="exact"/>
        <w:ind w:firstLineChars="200" w:firstLine="880"/>
        <w:jc w:val="center"/>
        <w:rPr>
          <w:rFonts w:ascii="方正小标宋简体" w:eastAsia="方正小标宋简体" w:cs="Times New Roman"/>
          <w:kern w:val="0"/>
          <w:sz w:val="44"/>
          <w:szCs w:val="44"/>
        </w:rPr>
      </w:pPr>
    </w:p>
    <w:p w:rsidR="00B129FF" w:rsidRPr="008714B2" w:rsidRDefault="00B129FF" w:rsidP="00572479">
      <w:pPr>
        <w:autoSpaceDE w:val="0"/>
        <w:autoSpaceDN w:val="0"/>
        <w:adjustRightInd w:val="0"/>
        <w:spacing w:line="520" w:lineRule="exact"/>
        <w:ind w:firstLineChars="200" w:firstLine="880"/>
        <w:jc w:val="center"/>
        <w:rPr>
          <w:rFonts w:ascii="方正小标宋简体" w:eastAsia="方正小标宋简体" w:cs="Times New Roman"/>
          <w:kern w:val="0"/>
          <w:sz w:val="44"/>
          <w:szCs w:val="44"/>
        </w:rPr>
      </w:pPr>
      <w:r w:rsidRPr="008714B2">
        <w:rPr>
          <w:rFonts w:ascii="方正小标宋简体" w:eastAsia="方正小标宋简体" w:cs="方正小标宋简体" w:hint="eastAsia"/>
          <w:kern w:val="0"/>
          <w:sz w:val="44"/>
          <w:szCs w:val="44"/>
        </w:rPr>
        <w:t>市城乡规划局概况</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Pr="00C26A47"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C26A47">
        <w:rPr>
          <w:rFonts w:ascii="楷体_GB2312" w:eastAsia="楷体_GB2312" w:cs="楷体_GB2312" w:hint="eastAsia"/>
          <w:b/>
          <w:bCs/>
          <w:kern w:val="0"/>
          <w:sz w:val="28"/>
          <w:szCs w:val="28"/>
        </w:rPr>
        <w:t>一、主要职能</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（一）贯彻执行国家和省有关城乡规划工作的法律、法规和规章，拟订我市城乡规划的地方规范性文件。</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（二）负责市域城镇体系规划、市本级城市总体规划、分区规划、专项规划、详细规划的编制、审查报批及实施管理工作。</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（三）负责市本级城市规划区内（梅县行政区除外）建设工程的选址、定点工作和建设用地的规划管理工作，核发《建设项目选址意见书》和《建设用地规划许可证》、《临时建设用地规划许可证》。</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（四）负责市本级城市规划区内（梅县行政区除外）各项建设工程（</w:t>
      </w:r>
      <w:proofErr w:type="gramStart"/>
      <w:r w:rsidRPr="00123CB5">
        <w:rPr>
          <w:rFonts w:ascii="楷体_GB2312" w:eastAsia="楷体_GB2312" w:cs="楷体_GB2312" w:hint="eastAsia"/>
          <w:kern w:val="0"/>
          <w:sz w:val="28"/>
          <w:szCs w:val="28"/>
        </w:rPr>
        <w:t>含临时</w:t>
      </w:r>
      <w:proofErr w:type="gramEnd"/>
      <w:r w:rsidRPr="00123CB5">
        <w:rPr>
          <w:rFonts w:ascii="楷体_GB2312" w:eastAsia="楷体_GB2312" w:cs="楷体_GB2312" w:hint="eastAsia"/>
          <w:kern w:val="0"/>
          <w:sz w:val="28"/>
          <w:szCs w:val="28"/>
        </w:rPr>
        <w:t>建设）的规划审批，核发《建设工程规划许可证》、《临时建设工程规划许可证》。</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（五）负责</w:t>
      </w:r>
      <w:proofErr w:type="gramStart"/>
      <w:r w:rsidRPr="00123CB5">
        <w:rPr>
          <w:rFonts w:ascii="楷体_GB2312" w:eastAsia="楷体_GB2312" w:cs="楷体_GB2312" w:hint="eastAsia"/>
          <w:kern w:val="0"/>
          <w:sz w:val="28"/>
          <w:szCs w:val="28"/>
        </w:rPr>
        <w:t>提出市</w:t>
      </w:r>
      <w:proofErr w:type="gramEnd"/>
      <w:r w:rsidRPr="00123CB5">
        <w:rPr>
          <w:rFonts w:ascii="楷体_GB2312" w:eastAsia="楷体_GB2312" w:cs="楷体_GB2312" w:hint="eastAsia"/>
          <w:kern w:val="0"/>
          <w:sz w:val="28"/>
          <w:szCs w:val="28"/>
        </w:rPr>
        <w:t>本级城市规划区内（梅县行政区除外）城市内路、街、巷、市政交通设施名称的命名、更名申请。</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（六）指导、协调县（市、区）村镇建设规划的编制、实施，依法审批有关村镇规划。</w:t>
      </w:r>
    </w:p>
    <w:p w:rsidR="00B129FF" w:rsidRPr="00123CB5" w:rsidRDefault="00B129FF" w:rsidP="00572479">
      <w:pPr>
        <w:autoSpaceDE w:val="0"/>
        <w:autoSpaceDN w:val="0"/>
        <w:adjustRightInd w:val="0"/>
        <w:spacing w:line="520" w:lineRule="exact"/>
        <w:ind w:firstLineChars="200" w:firstLine="560"/>
        <w:rPr>
          <w:rFonts w:ascii="仿宋_GB2312" w:eastAsia="仿宋_GB2312" w:cs="Times New Roman"/>
          <w:kern w:val="0"/>
        </w:rPr>
      </w:pPr>
      <w:r w:rsidRPr="00123CB5">
        <w:rPr>
          <w:rFonts w:ascii="楷体_GB2312" w:eastAsia="楷体_GB2312" w:cs="楷体_GB2312" w:hint="eastAsia"/>
          <w:kern w:val="0"/>
          <w:sz w:val="28"/>
          <w:szCs w:val="28"/>
        </w:rPr>
        <w:t>（七）参与区域规划、土地利用总体规划的编制工作。</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（八）负责规划设计行业管理和规划设计单位资质管理。</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（九）负责城镇规划建设测绘和城建档案管理工作。</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（十）会同有关部门管理指导城镇地下空间的开发和利用工作。</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lastRenderedPageBreak/>
        <w:t>（十一）会同有关部门做好历史文化名城（名镇、名村）规划的审查申报和保护工作。</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（十二）负责对城乡规划的编制、实施情况进行监督检查，依法查处违法建设等违反城乡规划的行为。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（十三）对县级城乡规划行政主管部门的行政行为履行行政复议职责。</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（十四）负责管理下属事业单位。</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（十五）承办市城乡规划委员会办公室日常工作。</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（十六）承办市委、市人民政府和上级业务主管部门交办的其他事项。</w:t>
      </w:r>
    </w:p>
    <w:p w:rsidR="00B129FF" w:rsidRPr="003E0B7B"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3E0B7B">
        <w:rPr>
          <w:rFonts w:ascii="楷体_GB2312" w:eastAsia="楷体_GB2312" w:cs="楷体_GB2312" w:hint="eastAsia"/>
          <w:b/>
          <w:bCs/>
          <w:kern w:val="0"/>
          <w:sz w:val="28"/>
          <w:szCs w:val="28"/>
        </w:rPr>
        <w:t>二、部门决算单位构成</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从决算单位构成看，市城乡规划局部门决算包括：局本级决算、下属单位市城市建设档案馆、市城乡规划编制研究中心和市城乡规划展览馆决算。</w:t>
      </w: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D75038">
      <w:pPr>
        <w:autoSpaceDE w:val="0"/>
        <w:autoSpaceDN w:val="0"/>
        <w:adjustRightInd w:val="0"/>
        <w:spacing w:line="520" w:lineRule="exact"/>
        <w:rPr>
          <w:rFonts w:ascii="楷体_GB2312" w:eastAsia="楷体_GB2312" w:cs="Times New Roman"/>
          <w:kern w:val="0"/>
          <w:sz w:val="28"/>
          <w:szCs w:val="28"/>
        </w:rPr>
      </w:pPr>
    </w:p>
    <w:p w:rsidR="00B129FF" w:rsidRPr="008714B2" w:rsidRDefault="00B129FF" w:rsidP="00436EBF">
      <w:pPr>
        <w:autoSpaceDE w:val="0"/>
        <w:autoSpaceDN w:val="0"/>
        <w:adjustRightInd w:val="0"/>
        <w:spacing w:line="520" w:lineRule="exact"/>
        <w:jc w:val="center"/>
        <w:rPr>
          <w:rFonts w:ascii="楷体_GB2312" w:eastAsia="楷体_GB2312" w:cs="Times New Roman"/>
          <w:b/>
          <w:bCs/>
          <w:kern w:val="0"/>
          <w:sz w:val="44"/>
          <w:szCs w:val="44"/>
        </w:rPr>
      </w:pPr>
      <w:r w:rsidRPr="008714B2">
        <w:rPr>
          <w:rFonts w:ascii="楷体_GB2312" w:eastAsia="楷体_GB2312" w:cs="楷体_GB2312" w:hint="eastAsia"/>
          <w:b/>
          <w:bCs/>
          <w:kern w:val="0"/>
          <w:sz w:val="44"/>
          <w:szCs w:val="44"/>
        </w:rPr>
        <w:t>第二部分</w:t>
      </w:r>
    </w:p>
    <w:p w:rsidR="00B129FF" w:rsidRPr="00123CB5" w:rsidRDefault="00B129FF" w:rsidP="00436EBF">
      <w:pPr>
        <w:autoSpaceDE w:val="0"/>
        <w:autoSpaceDN w:val="0"/>
        <w:adjustRightInd w:val="0"/>
        <w:spacing w:line="520" w:lineRule="exact"/>
        <w:jc w:val="center"/>
        <w:rPr>
          <w:rFonts w:ascii="楷体_GB2312" w:eastAsia="楷体_GB2312" w:cs="Times New Roman"/>
          <w:b/>
          <w:bCs/>
          <w:kern w:val="0"/>
          <w:sz w:val="28"/>
          <w:szCs w:val="28"/>
        </w:rPr>
      </w:pPr>
    </w:p>
    <w:p w:rsidR="00B129FF"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r w:rsidRPr="008714B2">
        <w:rPr>
          <w:rFonts w:ascii="方正小标宋简体" w:eastAsia="方正小标宋简体" w:cs="方正小标宋简体" w:hint="eastAsia"/>
          <w:kern w:val="0"/>
          <w:sz w:val="44"/>
          <w:szCs w:val="44"/>
        </w:rPr>
        <w:t>市城乡规划局</w:t>
      </w:r>
      <w:r w:rsidRPr="008714B2">
        <w:rPr>
          <w:rFonts w:ascii="方正小标宋简体" w:eastAsia="方正小标宋简体" w:cs="方正小标宋简体"/>
          <w:kern w:val="0"/>
          <w:sz w:val="44"/>
          <w:szCs w:val="44"/>
        </w:rPr>
        <w:t>2015</w:t>
      </w:r>
      <w:r w:rsidRPr="008714B2">
        <w:rPr>
          <w:rFonts w:ascii="方正小标宋简体" w:eastAsia="方正小标宋简体" w:cs="方正小标宋简体" w:hint="eastAsia"/>
          <w:kern w:val="0"/>
          <w:sz w:val="44"/>
          <w:szCs w:val="44"/>
        </w:rPr>
        <w:t>年度部门决算表</w:t>
      </w:r>
    </w:p>
    <w:p w:rsidR="00B129FF" w:rsidRPr="008714B2"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p>
    <w:tbl>
      <w:tblPr>
        <w:tblW w:w="14757" w:type="dxa"/>
        <w:tblInd w:w="-106" w:type="dxa"/>
        <w:tblLook w:val="00A0" w:firstRow="1" w:lastRow="0" w:firstColumn="1" w:lastColumn="0" w:noHBand="0" w:noVBand="0"/>
      </w:tblPr>
      <w:tblGrid>
        <w:gridCol w:w="4415"/>
        <w:gridCol w:w="552"/>
        <w:gridCol w:w="1874"/>
        <w:gridCol w:w="4273"/>
        <w:gridCol w:w="552"/>
        <w:gridCol w:w="3091"/>
      </w:tblGrid>
      <w:tr w:rsidR="00B129FF" w:rsidRPr="00085D5E">
        <w:trPr>
          <w:trHeight w:val="360"/>
        </w:trPr>
        <w:tc>
          <w:tcPr>
            <w:tcW w:w="14757" w:type="dxa"/>
            <w:gridSpan w:val="6"/>
            <w:tcBorders>
              <w:top w:val="nil"/>
              <w:left w:val="nil"/>
              <w:bottom w:val="nil"/>
              <w:right w:val="nil"/>
            </w:tcBorders>
            <w:noWrap/>
            <w:vAlign w:val="center"/>
          </w:tcPr>
          <w:p w:rsidR="00B129FF" w:rsidRPr="008B65FF" w:rsidRDefault="00B129FF" w:rsidP="008B65FF">
            <w:pPr>
              <w:widowControl/>
              <w:jc w:val="center"/>
              <w:rPr>
                <w:rFonts w:ascii="华文中宋" w:eastAsia="华文中宋" w:hAnsi="华文中宋" w:cs="Times New Roman"/>
                <w:color w:val="000000"/>
                <w:kern w:val="0"/>
                <w:sz w:val="32"/>
                <w:szCs w:val="32"/>
              </w:rPr>
            </w:pPr>
            <w:r>
              <w:rPr>
                <w:rFonts w:ascii="华文中宋" w:eastAsia="华文中宋" w:hAnsi="华文中宋" w:cs="华文中宋"/>
                <w:color w:val="000000"/>
                <w:kern w:val="0"/>
                <w:sz w:val="32"/>
                <w:szCs w:val="32"/>
              </w:rPr>
              <w:t xml:space="preserve">  </w:t>
            </w:r>
            <w:r w:rsidRPr="008B65FF">
              <w:rPr>
                <w:rFonts w:ascii="华文中宋" w:eastAsia="华文中宋" w:hAnsi="华文中宋" w:cs="华文中宋" w:hint="eastAsia"/>
                <w:color w:val="000000"/>
                <w:kern w:val="0"/>
                <w:sz w:val="32"/>
                <w:szCs w:val="32"/>
              </w:rPr>
              <w:t>收入支出决算总表</w:t>
            </w:r>
          </w:p>
        </w:tc>
      </w:tr>
      <w:tr w:rsidR="00B129FF" w:rsidRPr="00085D5E">
        <w:trPr>
          <w:trHeight w:val="199"/>
        </w:trPr>
        <w:tc>
          <w:tcPr>
            <w:tcW w:w="4415"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55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874"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4273"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55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3091"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01</w:t>
            </w:r>
            <w:r w:rsidRPr="008B65FF">
              <w:rPr>
                <w:rFonts w:ascii="宋体" w:hAnsi="宋体" w:cs="宋体" w:hint="eastAsia"/>
                <w:color w:val="000000"/>
                <w:kern w:val="0"/>
                <w:sz w:val="20"/>
                <w:szCs w:val="20"/>
              </w:rPr>
              <w:t>表</w:t>
            </w:r>
          </w:p>
        </w:tc>
      </w:tr>
      <w:tr w:rsidR="00B129FF" w:rsidRPr="00085D5E">
        <w:trPr>
          <w:trHeight w:val="300"/>
        </w:trPr>
        <w:tc>
          <w:tcPr>
            <w:tcW w:w="4415" w:type="dxa"/>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55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874"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4273"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55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3091"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trHeight w:val="439"/>
        </w:trPr>
        <w:tc>
          <w:tcPr>
            <w:tcW w:w="6841"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收入</w:t>
            </w:r>
          </w:p>
        </w:tc>
        <w:tc>
          <w:tcPr>
            <w:tcW w:w="7916" w:type="dxa"/>
            <w:gridSpan w:val="3"/>
            <w:tcBorders>
              <w:top w:val="single" w:sz="8" w:space="0" w:color="auto"/>
              <w:left w:val="nil"/>
              <w:bottom w:val="single" w:sz="4" w:space="0" w:color="auto"/>
              <w:right w:val="single" w:sz="8" w:space="0" w:color="000000"/>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支出</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hint="eastAsia"/>
                <w:kern w:val="0"/>
                <w:sz w:val="24"/>
                <w:szCs w:val="24"/>
              </w:rPr>
              <w:t>目</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行次</w:t>
            </w:r>
          </w:p>
        </w:tc>
        <w:tc>
          <w:tcPr>
            <w:tcW w:w="1874"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决算数</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hint="eastAsia"/>
                <w:kern w:val="0"/>
                <w:sz w:val="24"/>
                <w:szCs w:val="24"/>
              </w:rPr>
              <w:t>目</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行次</w:t>
            </w:r>
          </w:p>
        </w:tc>
        <w:tc>
          <w:tcPr>
            <w:tcW w:w="3091" w:type="dxa"/>
            <w:tcBorders>
              <w:top w:val="nil"/>
              <w:left w:val="nil"/>
              <w:bottom w:val="single" w:sz="4" w:space="0" w:color="auto"/>
              <w:right w:val="single" w:sz="8"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决算数</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w:t>
            </w:r>
            <w:r w:rsidRPr="008B65FF">
              <w:rPr>
                <w:rFonts w:ascii="宋体" w:hAnsi="宋体" w:cs="宋体"/>
                <w:kern w:val="0"/>
                <w:sz w:val="24"/>
                <w:szCs w:val="24"/>
              </w:rPr>
              <w:t xml:space="preserve">    </w:t>
            </w:r>
            <w:r w:rsidRPr="008B65FF">
              <w:rPr>
                <w:rFonts w:ascii="宋体" w:hAnsi="宋体" w:cs="宋体" w:hint="eastAsia"/>
                <w:kern w:val="0"/>
                <w:sz w:val="24"/>
                <w:szCs w:val="24"/>
              </w:rPr>
              <w:t>次</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874"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w:t>
            </w:r>
            <w:r w:rsidRPr="008B65FF">
              <w:rPr>
                <w:rFonts w:ascii="宋体" w:hAnsi="宋体" w:cs="宋体"/>
                <w:kern w:val="0"/>
                <w:sz w:val="24"/>
                <w:szCs w:val="24"/>
              </w:rPr>
              <w:t xml:space="preserve">    </w:t>
            </w:r>
            <w:r w:rsidRPr="008B65FF">
              <w:rPr>
                <w:rFonts w:ascii="宋体" w:hAnsi="宋体" w:cs="宋体" w:hint="eastAsia"/>
                <w:kern w:val="0"/>
                <w:sz w:val="24"/>
                <w:szCs w:val="24"/>
              </w:rPr>
              <w:t>次</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3091" w:type="dxa"/>
            <w:tcBorders>
              <w:top w:val="nil"/>
              <w:left w:val="nil"/>
              <w:bottom w:val="single" w:sz="4" w:space="0" w:color="auto"/>
              <w:right w:val="single" w:sz="8"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r>
      <w:tr w:rsidR="00B129FF" w:rsidRPr="00085D5E">
        <w:trPr>
          <w:trHeight w:val="439"/>
        </w:trPr>
        <w:tc>
          <w:tcPr>
            <w:tcW w:w="4415" w:type="dxa"/>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一、财政拨款收入</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6,544.27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一、社会保障和就业支出</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14</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303.73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二、其他收入</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308.64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二、医疗卫生与计划生育支出</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15</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16.46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 xml:space="preserve">　</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三、城乡社区支出</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16</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4,180.40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 xml:space="preserve">　</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四、住房保障支出</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17</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29.04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 xml:space="preserve">　</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18</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 xml:space="preserve">　</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19</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7</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20</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8</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nil"/>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21</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center"/>
              <w:rPr>
                <w:rFonts w:ascii="宋体" w:cs="Times New Roman"/>
                <w:b/>
                <w:bCs/>
                <w:kern w:val="0"/>
                <w:sz w:val="22"/>
              </w:rPr>
            </w:pPr>
            <w:r w:rsidRPr="008B65FF">
              <w:rPr>
                <w:rFonts w:ascii="宋体" w:hAnsi="宋体" w:cs="宋体" w:hint="eastAsia"/>
                <w:b/>
                <w:bCs/>
                <w:kern w:val="0"/>
                <w:sz w:val="22"/>
                <w:szCs w:val="22"/>
              </w:rPr>
              <w:t>本年收入合计</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9</w:t>
            </w:r>
          </w:p>
        </w:tc>
        <w:tc>
          <w:tcPr>
            <w:tcW w:w="1874" w:type="dxa"/>
            <w:tcBorders>
              <w:top w:val="nil"/>
              <w:left w:val="nil"/>
              <w:bottom w:val="single" w:sz="4" w:space="0" w:color="auto"/>
              <w:right w:val="single" w:sz="8" w:space="0" w:color="auto"/>
            </w:tcBorders>
            <w:noWrap/>
            <w:vAlign w:val="center"/>
          </w:tcPr>
          <w:p w:rsidR="00B129FF" w:rsidRPr="008B65FF" w:rsidRDefault="00B129FF" w:rsidP="008B65FF">
            <w:pPr>
              <w:widowControl/>
              <w:jc w:val="left"/>
              <w:rPr>
                <w:rFonts w:ascii="宋体" w:cs="Times New Roman"/>
                <w:b/>
                <w:bCs/>
                <w:kern w:val="0"/>
                <w:sz w:val="22"/>
              </w:rPr>
            </w:pPr>
            <w:r w:rsidRPr="008B65FF">
              <w:rPr>
                <w:rFonts w:ascii="宋体" w:hAnsi="宋体" w:cs="宋体"/>
                <w:b/>
                <w:bCs/>
                <w:kern w:val="0"/>
                <w:sz w:val="22"/>
                <w:szCs w:val="22"/>
              </w:rPr>
              <w:t xml:space="preserve">   6,852.90 </w:t>
            </w:r>
          </w:p>
        </w:tc>
        <w:tc>
          <w:tcPr>
            <w:tcW w:w="4273" w:type="dxa"/>
            <w:tcBorders>
              <w:top w:val="nil"/>
              <w:left w:val="single" w:sz="4" w:space="0" w:color="auto"/>
              <w:bottom w:val="single" w:sz="4" w:space="0" w:color="auto"/>
              <w:right w:val="nil"/>
            </w:tcBorders>
            <w:noWrap/>
            <w:vAlign w:val="center"/>
          </w:tcPr>
          <w:p w:rsidR="00B129FF" w:rsidRPr="008B65FF" w:rsidRDefault="00B129FF" w:rsidP="008B65FF">
            <w:pPr>
              <w:widowControl/>
              <w:jc w:val="center"/>
              <w:rPr>
                <w:rFonts w:ascii="宋体" w:cs="Times New Roman"/>
                <w:b/>
                <w:bCs/>
                <w:kern w:val="0"/>
                <w:sz w:val="22"/>
              </w:rPr>
            </w:pPr>
            <w:r w:rsidRPr="008B65FF">
              <w:rPr>
                <w:rFonts w:ascii="宋体" w:hAnsi="宋体" w:cs="宋体" w:hint="eastAsia"/>
                <w:b/>
                <w:bCs/>
                <w:kern w:val="0"/>
                <w:sz w:val="22"/>
                <w:szCs w:val="22"/>
              </w:rPr>
              <w:t>本年支出合计</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22</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left"/>
              <w:rPr>
                <w:rFonts w:ascii="宋体" w:cs="Times New Roman"/>
                <w:b/>
                <w:bCs/>
                <w:kern w:val="0"/>
                <w:sz w:val="22"/>
              </w:rPr>
            </w:pPr>
            <w:r w:rsidRPr="008B65FF">
              <w:rPr>
                <w:rFonts w:ascii="宋体" w:hAnsi="宋体" w:cs="宋体"/>
                <w:b/>
                <w:bCs/>
                <w:kern w:val="0"/>
                <w:sz w:val="22"/>
                <w:szCs w:val="22"/>
              </w:rPr>
              <w:t xml:space="preserve">    4,529.62 </w:t>
            </w:r>
          </w:p>
        </w:tc>
      </w:tr>
      <w:tr w:rsidR="00B129FF" w:rsidRPr="00085D5E">
        <w:trPr>
          <w:trHeight w:val="439"/>
        </w:trPr>
        <w:tc>
          <w:tcPr>
            <w:tcW w:w="4415" w:type="dxa"/>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kern w:val="0"/>
                <w:sz w:val="22"/>
                <w:szCs w:val="22"/>
              </w:rPr>
              <w:lastRenderedPageBreak/>
              <w:t xml:space="preserve">         </w:t>
            </w:r>
            <w:r w:rsidRPr="008B65FF">
              <w:rPr>
                <w:rFonts w:ascii="宋体" w:hAnsi="宋体" w:cs="宋体" w:hint="eastAsia"/>
                <w:kern w:val="0"/>
                <w:sz w:val="22"/>
                <w:szCs w:val="22"/>
              </w:rPr>
              <w:t>用事业基金弥补收支差额</w:t>
            </w:r>
          </w:p>
        </w:tc>
        <w:tc>
          <w:tcPr>
            <w:tcW w:w="552" w:type="dxa"/>
            <w:tcBorders>
              <w:top w:val="single" w:sz="4" w:space="0" w:color="auto"/>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10</w:t>
            </w:r>
          </w:p>
        </w:tc>
        <w:tc>
          <w:tcPr>
            <w:tcW w:w="1874" w:type="dxa"/>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4273" w:type="dxa"/>
            <w:tcBorders>
              <w:top w:val="single" w:sz="4" w:space="0" w:color="auto"/>
              <w:left w:val="nil"/>
              <w:bottom w:val="single" w:sz="4" w:space="0" w:color="auto"/>
              <w:right w:val="nil"/>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结余分配</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23</w:t>
            </w:r>
          </w:p>
        </w:tc>
        <w:tc>
          <w:tcPr>
            <w:tcW w:w="3091" w:type="dxa"/>
            <w:tcBorders>
              <w:top w:val="single" w:sz="4" w:space="0" w:color="auto"/>
              <w:left w:val="nil"/>
              <w:bottom w:val="single" w:sz="4" w:space="0" w:color="auto"/>
              <w:right w:val="single" w:sz="8"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年初结转和结余</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11</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6,894.64 </w:t>
            </w:r>
          </w:p>
        </w:tc>
        <w:tc>
          <w:tcPr>
            <w:tcW w:w="4273" w:type="dxa"/>
            <w:tcBorders>
              <w:top w:val="nil"/>
              <w:left w:val="nil"/>
              <w:bottom w:val="single" w:sz="4" w:space="0" w:color="auto"/>
              <w:right w:val="nil"/>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年末结转和结余</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24</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kern w:val="0"/>
                <w:sz w:val="22"/>
                <w:szCs w:val="22"/>
              </w:rPr>
              <w:t xml:space="preserve">      9,217.92 </w:t>
            </w:r>
          </w:p>
        </w:tc>
      </w:tr>
      <w:tr w:rsidR="00B129FF" w:rsidRPr="00085D5E">
        <w:trPr>
          <w:trHeight w:val="439"/>
        </w:trPr>
        <w:tc>
          <w:tcPr>
            <w:tcW w:w="4415" w:type="dxa"/>
            <w:tcBorders>
              <w:top w:val="nil"/>
              <w:left w:val="single" w:sz="8" w:space="0" w:color="auto"/>
              <w:bottom w:val="nil"/>
              <w:right w:val="nil"/>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12</w:t>
            </w:r>
          </w:p>
        </w:tc>
        <w:tc>
          <w:tcPr>
            <w:tcW w:w="1874" w:type="dxa"/>
            <w:tcBorders>
              <w:top w:val="nil"/>
              <w:left w:val="nil"/>
              <w:bottom w:val="nil"/>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4273" w:type="dxa"/>
            <w:tcBorders>
              <w:top w:val="nil"/>
              <w:left w:val="nil"/>
              <w:bottom w:val="nil"/>
              <w:right w:val="nil"/>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25</w:t>
            </w:r>
          </w:p>
        </w:tc>
        <w:tc>
          <w:tcPr>
            <w:tcW w:w="3091" w:type="dxa"/>
            <w:tcBorders>
              <w:top w:val="nil"/>
              <w:left w:val="nil"/>
              <w:bottom w:val="nil"/>
              <w:right w:val="single" w:sz="8"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single" w:sz="4" w:space="0" w:color="auto"/>
              <w:left w:val="single" w:sz="8" w:space="0" w:color="auto"/>
              <w:bottom w:val="single" w:sz="8" w:space="0" w:color="auto"/>
              <w:right w:val="nil"/>
            </w:tcBorders>
            <w:shd w:val="clear" w:color="000000" w:fill="FFFFFF"/>
            <w:noWrap/>
            <w:vAlign w:val="center"/>
          </w:tcPr>
          <w:p w:rsidR="00B129FF" w:rsidRPr="008B65FF" w:rsidRDefault="00B129FF" w:rsidP="008B65FF">
            <w:pPr>
              <w:widowControl/>
              <w:jc w:val="center"/>
              <w:rPr>
                <w:rFonts w:ascii="宋体" w:cs="Times New Roman"/>
                <w:b/>
                <w:bCs/>
                <w:kern w:val="0"/>
                <w:sz w:val="22"/>
              </w:rPr>
            </w:pPr>
            <w:r w:rsidRPr="008B65FF">
              <w:rPr>
                <w:rFonts w:ascii="宋体" w:hAnsi="宋体" w:cs="宋体" w:hint="eastAsia"/>
                <w:b/>
                <w:bCs/>
                <w:kern w:val="0"/>
                <w:sz w:val="22"/>
                <w:szCs w:val="22"/>
              </w:rPr>
              <w:t>合计</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13</w:t>
            </w:r>
          </w:p>
        </w:tc>
        <w:tc>
          <w:tcPr>
            <w:tcW w:w="1874" w:type="dxa"/>
            <w:tcBorders>
              <w:top w:val="single" w:sz="4" w:space="0" w:color="auto"/>
              <w:left w:val="nil"/>
              <w:bottom w:val="single" w:sz="8" w:space="0" w:color="auto"/>
              <w:right w:val="single" w:sz="8" w:space="0" w:color="auto"/>
            </w:tcBorders>
            <w:noWrap/>
            <w:vAlign w:val="center"/>
          </w:tcPr>
          <w:p w:rsidR="00B129FF" w:rsidRPr="008B65FF" w:rsidRDefault="00B129FF" w:rsidP="008B65FF">
            <w:pPr>
              <w:widowControl/>
              <w:jc w:val="left"/>
              <w:rPr>
                <w:rFonts w:ascii="宋体" w:cs="Times New Roman"/>
                <w:b/>
                <w:bCs/>
                <w:kern w:val="0"/>
                <w:sz w:val="22"/>
              </w:rPr>
            </w:pPr>
            <w:r w:rsidRPr="008B65FF">
              <w:rPr>
                <w:rFonts w:ascii="宋体" w:hAnsi="宋体" w:cs="宋体"/>
                <w:b/>
                <w:bCs/>
                <w:kern w:val="0"/>
                <w:sz w:val="22"/>
                <w:szCs w:val="22"/>
              </w:rPr>
              <w:t xml:space="preserve">  13,747.54 </w:t>
            </w:r>
          </w:p>
        </w:tc>
        <w:tc>
          <w:tcPr>
            <w:tcW w:w="4273" w:type="dxa"/>
            <w:tcBorders>
              <w:top w:val="single" w:sz="4" w:space="0" w:color="auto"/>
              <w:left w:val="single" w:sz="4" w:space="0" w:color="auto"/>
              <w:bottom w:val="single" w:sz="8" w:space="0" w:color="auto"/>
              <w:right w:val="nil"/>
            </w:tcBorders>
            <w:shd w:val="clear" w:color="000000" w:fill="FFFFFF"/>
            <w:noWrap/>
            <w:vAlign w:val="center"/>
          </w:tcPr>
          <w:p w:rsidR="00B129FF" w:rsidRPr="008B65FF" w:rsidRDefault="00B129FF" w:rsidP="008B65FF">
            <w:pPr>
              <w:widowControl/>
              <w:jc w:val="center"/>
              <w:rPr>
                <w:rFonts w:ascii="宋体" w:cs="Times New Roman"/>
                <w:b/>
                <w:bCs/>
                <w:kern w:val="0"/>
                <w:sz w:val="22"/>
              </w:rPr>
            </w:pPr>
            <w:r w:rsidRPr="008B65FF">
              <w:rPr>
                <w:rFonts w:ascii="宋体" w:hAnsi="宋体" w:cs="宋体" w:hint="eastAsia"/>
                <w:b/>
                <w:bCs/>
                <w:kern w:val="0"/>
                <w:sz w:val="22"/>
                <w:szCs w:val="22"/>
              </w:rPr>
              <w:t>合计</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26</w:t>
            </w:r>
          </w:p>
        </w:tc>
        <w:tc>
          <w:tcPr>
            <w:tcW w:w="3091" w:type="dxa"/>
            <w:tcBorders>
              <w:top w:val="single" w:sz="4" w:space="0" w:color="auto"/>
              <w:left w:val="nil"/>
              <w:bottom w:val="single" w:sz="8" w:space="0" w:color="auto"/>
              <w:right w:val="single" w:sz="8" w:space="0" w:color="auto"/>
            </w:tcBorders>
            <w:noWrap/>
            <w:vAlign w:val="center"/>
          </w:tcPr>
          <w:p w:rsidR="00B129FF" w:rsidRPr="008B65FF" w:rsidRDefault="00B129FF" w:rsidP="008B65FF">
            <w:pPr>
              <w:widowControl/>
              <w:jc w:val="left"/>
              <w:rPr>
                <w:rFonts w:ascii="宋体" w:cs="Times New Roman"/>
                <w:b/>
                <w:bCs/>
                <w:kern w:val="0"/>
                <w:sz w:val="22"/>
              </w:rPr>
            </w:pPr>
            <w:r w:rsidRPr="008B65FF">
              <w:rPr>
                <w:rFonts w:ascii="宋体" w:hAnsi="宋体" w:cs="宋体"/>
                <w:b/>
                <w:bCs/>
                <w:kern w:val="0"/>
                <w:sz w:val="22"/>
                <w:szCs w:val="22"/>
              </w:rPr>
              <w:t xml:space="preserve">   13,747.54 </w:t>
            </w:r>
          </w:p>
        </w:tc>
      </w:tr>
      <w:tr w:rsidR="00B129FF" w:rsidRPr="00085D5E">
        <w:trPr>
          <w:trHeight w:val="585"/>
        </w:trPr>
        <w:tc>
          <w:tcPr>
            <w:tcW w:w="14757" w:type="dxa"/>
            <w:gridSpan w:val="6"/>
            <w:tcBorders>
              <w:top w:val="single" w:sz="8" w:space="0" w:color="auto"/>
              <w:left w:val="nil"/>
              <w:bottom w:val="nil"/>
              <w:right w:val="nil"/>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注：本表反映部门本年度的总收支和年末结转结余情况。</w:t>
            </w:r>
          </w:p>
        </w:tc>
      </w:tr>
    </w:tbl>
    <w:p w:rsidR="00B129FF" w:rsidRDefault="00B129FF" w:rsidP="00F0487A">
      <w:pPr>
        <w:autoSpaceDE w:val="0"/>
        <w:autoSpaceDN w:val="0"/>
        <w:adjustRightInd w:val="0"/>
        <w:spacing w:line="520" w:lineRule="exact"/>
        <w:rPr>
          <w:rFonts w:ascii="楷体_GB2312" w:eastAsia="楷体_GB2312" w:cs="Times New Roman"/>
          <w:kern w:val="0"/>
          <w:sz w:val="28"/>
          <w:szCs w:val="28"/>
        </w:rPr>
      </w:pPr>
    </w:p>
    <w:tbl>
      <w:tblPr>
        <w:tblW w:w="15260" w:type="dxa"/>
        <w:tblInd w:w="-106" w:type="dxa"/>
        <w:tblLook w:val="00A0" w:firstRow="1" w:lastRow="0" w:firstColumn="1" w:lastColumn="0" w:noHBand="0" w:noVBand="0"/>
      </w:tblPr>
      <w:tblGrid>
        <w:gridCol w:w="470"/>
        <w:gridCol w:w="241"/>
        <w:gridCol w:w="205"/>
        <w:gridCol w:w="325"/>
        <w:gridCol w:w="3862"/>
        <w:gridCol w:w="948"/>
        <w:gridCol w:w="1320"/>
        <w:gridCol w:w="603"/>
        <w:gridCol w:w="1665"/>
        <w:gridCol w:w="344"/>
        <w:gridCol w:w="932"/>
        <w:gridCol w:w="992"/>
        <w:gridCol w:w="85"/>
        <w:gridCol w:w="907"/>
        <w:gridCol w:w="100"/>
        <w:gridCol w:w="893"/>
        <w:gridCol w:w="151"/>
        <w:gridCol w:w="1217"/>
      </w:tblGrid>
      <w:tr w:rsidR="00B129FF" w:rsidRPr="00085D5E">
        <w:trPr>
          <w:trHeight w:val="435"/>
        </w:trPr>
        <w:tc>
          <w:tcPr>
            <w:tcW w:w="15260" w:type="dxa"/>
            <w:gridSpan w:val="18"/>
            <w:tcBorders>
              <w:top w:val="nil"/>
              <w:left w:val="nil"/>
              <w:bottom w:val="nil"/>
              <w:right w:val="nil"/>
            </w:tcBorders>
            <w:noWrap/>
            <w:vAlign w:val="center"/>
          </w:tcPr>
          <w:p w:rsidR="00B129FF" w:rsidRDefault="00B129FF" w:rsidP="008B65FF">
            <w:pPr>
              <w:widowControl/>
              <w:jc w:val="center"/>
              <w:rPr>
                <w:rFonts w:ascii="华文中宋" w:eastAsia="华文中宋" w:hAnsi="华文中宋" w:cs="华文中宋"/>
                <w:color w:val="000000"/>
                <w:kern w:val="0"/>
                <w:sz w:val="32"/>
                <w:szCs w:val="32"/>
              </w:rPr>
            </w:pPr>
            <w:r>
              <w:rPr>
                <w:rFonts w:ascii="华文中宋" w:eastAsia="华文中宋" w:hAnsi="华文中宋" w:cs="华文中宋"/>
                <w:color w:val="000000"/>
                <w:kern w:val="0"/>
                <w:sz w:val="32"/>
                <w:szCs w:val="32"/>
              </w:rPr>
              <w:t xml:space="preserve"> </w:t>
            </w: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Pr="008B65FF" w:rsidRDefault="00B129FF" w:rsidP="008B65FF">
            <w:pPr>
              <w:widowControl/>
              <w:jc w:val="center"/>
              <w:rPr>
                <w:rFonts w:ascii="华文中宋" w:eastAsia="华文中宋" w:hAnsi="华文中宋" w:cs="Times New Roman"/>
                <w:color w:val="000000"/>
                <w:kern w:val="0"/>
                <w:sz w:val="32"/>
                <w:szCs w:val="32"/>
              </w:rPr>
            </w:pPr>
            <w:r w:rsidRPr="008B65FF">
              <w:rPr>
                <w:rFonts w:ascii="华文中宋" w:eastAsia="华文中宋" w:hAnsi="华文中宋" w:cs="华文中宋" w:hint="eastAsia"/>
                <w:color w:val="000000"/>
                <w:kern w:val="0"/>
                <w:sz w:val="32"/>
                <w:szCs w:val="32"/>
              </w:rPr>
              <w:lastRenderedPageBreak/>
              <w:t>收入决算表</w:t>
            </w:r>
          </w:p>
        </w:tc>
      </w:tr>
      <w:tr w:rsidR="00B129FF" w:rsidRPr="00085D5E">
        <w:trPr>
          <w:trHeight w:val="285"/>
        </w:trPr>
        <w:tc>
          <w:tcPr>
            <w:tcW w:w="711"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lastRenderedPageBreak/>
              <w:t xml:space="preserve">　</w:t>
            </w:r>
          </w:p>
        </w:tc>
        <w:tc>
          <w:tcPr>
            <w:tcW w:w="530"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386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268"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268"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99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992"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993"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368" w:type="dxa"/>
            <w:gridSpan w:val="2"/>
            <w:tcBorders>
              <w:top w:val="nil"/>
              <w:left w:val="nil"/>
              <w:bottom w:val="nil"/>
              <w:right w:val="nil"/>
            </w:tcBorders>
            <w:shd w:val="clear" w:color="000000" w:fill="FFFFFF"/>
            <w:noWrap/>
            <w:vAlign w:val="center"/>
          </w:tcPr>
          <w:p w:rsidR="00B129FF" w:rsidRPr="008B65FF" w:rsidRDefault="00B129FF" w:rsidP="00572479">
            <w:pPr>
              <w:widowControl/>
              <w:ind w:leftChars="-160" w:left="-336" w:right="200"/>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02</w:t>
            </w:r>
            <w:r w:rsidRPr="008B65FF">
              <w:rPr>
                <w:rFonts w:ascii="宋体" w:hAnsi="宋体" w:cs="宋体" w:hint="eastAsia"/>
                <w:color w:val="000000"/>
                <w:kern w:val="0"/>
                <w:sz w:val="20"/>
                <w:szCs w:val="20"/>
              </w:rPr>
              <w:t>表</w:t>
            </w:r>
          </w:p>
        </w:tc>
      </w:tr>
      <w:tr w:rsidR="00B129FF" w:rsidRPr="00085D5E">
        <w:trPr>
          <w:trHeight w:val="300"/>
        </w:trPr>
        <w:tc>
          <w:tcPr>
            <w:tcW w:w="5103" w:type="dxa"/>
            <w:gridSpan w:val="5"/>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2268"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268"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000000" w:fill="FFFFFF"/>
            <w:noWrap/>
            <w:vAlign w:val="center"/>
          </w:tcPr>
          <w:p w:rsidR="00B129FF" w:rsidRPr="008B65FF" w:rsidRDefault="00B129FF" w:rsidP="008B65FF">
            <w:pPr>
              <w:widowControl/>
              <w:jc w:val="center"/>
              <w:rPr>
                <w:rFonts w:ascii="宋体" w:cs="Times New Roman"/>
                <w:color w:val="000000"/>
                <w:kern w:val="0"/>
                <w:sz w:val="20"/>
                <w:szCs w:val="20"/>
              </w:rPr>
            </w:pPr>
            <w:r w:rsidRPr="008B65FF">
              <w:rPr>
                <w:rFonts w:ascii="宋体" w:hAnsi="宋体" w:cs="宋体" w:hint="eastAsia"/>
                <w:color w:val="000000"/>
                <w:kern w:val="0"/>
                <w:sz w:val="20"/>
                <w:szCs w:val="20"/>
              </w:rPr>
              <w:t xml:space="preserve">　</w:t>
            </w:r>
          </w:p>
        </w:tc>
        <w:tc>
          <w:tcPr>
            <w:tcW w:w="99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992"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993"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368" w:type="dxa"/>
            <w:gridSpan w:val="2"/>
            <w:tcBorders>
              <w:top w:val="nil"/>
              <w:left w:val="nil"/>
              <w:bottom w:val="nil"/>
              <w:right w:val="nil"/>
            </w:tcBorders>
            <w:shd w:val="clear" w:color="000000" w:fill="FFFFFF"/>
            <w:noWrap/>
            <w:vAlign w:val="center"/>
          </w:tcPr>
          <w:p w:rsidR="00B129FF" w:rsidRPr="008B65FF" w:rsidRDefault="00B129FF" w:rsidP="00572479">
            <w:pPr>
              <w:widowControl/>
              <w:ind w:leftChars="-147" w:left="-309" w:right="200" w:firstLineChars="49" w:firstLine="98"/>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trHeight w:val="402"/>
        </w:trPr>
        <w:tc>
          <w:tcPr>
            <w:tcW w:w="5103" w:type="dxa"/>
            <w:gridSpan w:val="5"/>
            <w:tcBorders>
              <w:top w:val="single" w:sz="8" w:space="0" w:color="auto"/>
              <w:left w:val="single" w:sz="8" w:space="0" w:color="auto"/>
              <w:bottom w:val="single" w:sz="4" w:space="0" w:color="auto"/>
              <w:right w:val="nil"/>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项</w:t>
            </w:r>
            <w:r w:rsidRPr="008B65FF">
              <w:rPr>
                <w:rFonts w:ascii="宋体" w:hAnsi="宋体" w:cs="宋体"/>
                <w:kern w:val="0"/>
                <w:sz w:val="20"/>
                <w:szCs w:val="20"/>
              </w:rPr>
              <w:t xml:space="preserve">    </w:t>
            </w:r>
            <w:r w:rsidRPr="008B65FF">
              <w:rPr>
                <w:rFonts w:ascii="宋体" w:hAnsi="宋体" w:cs="宋体" w:hint="eastAsia"/>
                <w:kern w:val="0"/>
                <w:sz w:val="20"/>
                <w:szCs w:val="20"/>
              </w:rPr>
              <w:t>目</w:t>
            </w:r>
          </w:p>
        </w:tc>
        <w:tc>
          <w:tcPr>
            <w:tcW w:w="2268" w:type="dxa"/>
            <w:gridSpan w:val="2"/>
            <w:vMerge w:val="restart"/>
            <w:tcBorders>
              <w:top w:val="single" w:sz="8" w:space="0" w:color="auto"/>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本年收入合计</w:t>
            </w:r>
          </w:p>
        </w:tc>
        <w:tc>
          <w:tcPr>
            <w:tcW w:w="2268" w:type="dxa"/>
            <w:gridSpan w:val="2"/>
            <w:vMerge w:val="restart"/>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财政拨款收入</w:t>
            </w:r>
          </w:p>
        </w:tc>
        <w:tc>
          <w:tcPr>
            <w:tcW w:w="1276" w:type="dxa"/>
            <w:gridSpan w:val="2"/>
            <w:vMerge w:val="restart"/>
            <w:tcBorders>
              <w:top w:val="single" w:sz="8" w:space="0" w:color="auto"/>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上级补助收入</w:t>
            </w:r>
          </w:p>
        </w:tc>
        <w:tc>
          <w:tcPr>
            <w:tcW w:w="992" w:type="dxa"/>
            <w:vMerge w:val="restart"/>
            <w:tcBorders>
              <w:top w:val="single" w:sz="8" w:space="0" w:color="auto"/>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事业收入</w:t>
            </w:r>
          </w:p>
        </w:tc>
        <w:tc>
          <w:tcPr>
            <w:tcW w:w="992" w:type="dxa"/>
            <w:gridSpan w:val="2"/>
            <w:vMerge w:val="restart"/>
            <w:tcBorders>
              <w:top w:val="single" w:sz="8" w:space="0" w:color="auto"/>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经营收入</w:t>
            </w:r>
          </w:p>
        </w:tc>
        <w:tc>
          <w:tcPr>
            <w:tcW w:w="993" w:type="dxa"/>
            <w:gridSpan w:val="2"/>
            <w:vMerge w:val="restart"/>
            <w:tcBorders>
              <w:top w:val="single" w:sz="8" w:space="0" w:color="auto"/>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附属单位上缴收入</w:t>
            </w:r>
          </w:p>
        </w:tc>
        <w:tc>
          <w:tcPr>
            <w:tcW w:w="1368" w:type="dxa"/>
            <w:gridSpan w:val="2"/>
            <w:vMerge w:val="restart"/>
            <w:tcBorders>
              <w:top w:val="single" w:sz="8" w:space="0" w:color="auto"/>
              <w:left w:val="single" w:sz="4" w:space="0" w:color="auto"/>
              <w:bottom w:val="nil"/>
              <w:right w:val="single" w:sz="8"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其他收入</w:t>
            </w:r>
          </w:p>
        </w:tc>
      </w:tr>
      <w:tr w:rsidR="00B129FF" w:rsidRPr="00085D5E">
        <w:trPr>
          <w:trHeight w:val="510"/>
        </w:trPr>
        <w:tc>
          <w:tcPr>
            <w:tcW w:w="1241" w:type="dxa"/>
            <w:gridSpan w:val="4"/>
            <w:tcBorders>
              <w:top w:val="single" w:sz="4" w:space="0" w:color="auto"/>
              <w:left w:val="single" w:sz="8" w:space="0" w:color="auto"/>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功能分类科目编码</w:t>
            </w:r>
          </w:p>
        </w:tc>
        <w:tc>
          <w:tcPr>
            <w:tcW w:w="3862" w:type="dxa"/>
            <w:tcBorders>
              <w:top w:val="nil"/>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科目名称</w:t>
            </w:r>
          </w:p>
        </w:tc>
        <w:tc>
          <w:tcPr>
            <w:tcW w:w="2268" w:type="dxa"/>
            <w:gridSpan w:val="2"/>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2268" w:type="dxa"/>
            <w:gridSpan w:val="2"/>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1276" w:type="dxa"/>
            <w:gridSpan w:val="2"/>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992" w:type="dxa"/>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992" w:type="dxa"/>
            <w:gridSpan w:val="2"/>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993" w:type="dxa"/>
            <w:gridSpan w:val="2"/>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1368" w:type="dxa"/>
            <w:gridSpan w:val="2"/>
            <w:vMerge/>
            <w:tcBorders>
              <w:top w:val="single" w:sz="8" w:space="0" w:color="auto"/>
              <w:left w:val="single" w:sz="4" w:space="0" w:color="auto"/>
              <w:bottom w:val="nil"/>
              <w:right w:val="single" w:sz="8"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r>
      <w:tr w:rsidR="00B129FF" w:rsidRPr="00085D5E">
        <w:trPr>
          <w:trHeight w:val="379"/>
        </w:trPr>
        <w:tc>
          <w:tcPr>
            <w:tcW w:w="5103"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hint="eastAsia"/>
                <w:kern w:val="0"/>
                <w:sz w:val="24"/>
                <w:szCs w:val="24"/>
              </w:rPr>
              <w:t>栏次</w:t>
            </w:r>
          </w:p>
        </w:tc>
        <w:tc>
          <w:tcPr>
            <w:tcW w:w="2268"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w:t>
            </w:r>
          </w:p>
        </w:tc>
        <w:tc>
          <w:tcPr>
            <w:tcW w:w="2268"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w:t>
            </w:r>
          </w:p>
        </w:tc>
        <w:tc>
          <w:tcPr>
            <w:tcW w:w="1276"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w:t>
            </w:r>
          </w:p>
        </w:tc>
        <w:tc>
          <w:tcPr>
            <w:tcW w:w="99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4</w:t>
            </w:r>
          </w:p>
        </w:tc>
        <w:tc>
          <w:tcPr>
            <w:tcW w:w="992"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5</w:t>
            </w:r>
          </w:p>
        </w:tc>
        <w:tc>
          <w:tcPr>
            <w:tcW w:w="993"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6</w:t>
            </w:r>
          </w:p>
        </w:tc>
        <w:tc>
          <w:tcPr>
            <w:tcW w:w="1368" w:type="dxa"/>
            <w:gridSpan w:val="2"/>
            <w:tcBorders>
              <w:top w:val="nil"/>
              <w:left w:val="nil"/>
              <w:bottom w:val="single" w:sz="4" w:space="0" w:color="auto"/>
              <w:right w:val="single" w:sz="8"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7</w:t>
            </w:r>
          </w:p>
        </w:tc>
      </w:tr>
      <w:tr w:rsidR="00B129FF" w:rsidRPr="00085D5E">
        <w:trPr>
          <w:trHeight w:val="379"/>
        </w:trPr>
        <w:tc>
          <w:tcPr>
            <w:tcW w:w="5103" w:type="dxa"/>
            <w:gridSpan w:val="5"/>
            <w:tcBorders>
              <w:top w:val="nil"/>
              <w:left w:val="single" w:sz="8" w:space="0" w:color="auto"/>
              <w:bottom w:val="single" w:sz="4" w:space="0" w:color="auto"/>
              <w:right w:val="single" w:sz="4" w:space="0" w:color="000000"/>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hint="eastAsia"/>
                <w:kern w:val="0"/>
                <w:sz w:val="24"/>
                <w:szCs w:val="24"/>
              </w:rPr>
              <w:t>合计</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6,852.90</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6,544.27</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308.64</w:t>
            </w: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208</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b/>
                <w:bCs/>
                <w:kern w:val="0"/>
                <w:sz w:val="20"/>
                <w:szCs w:val="20"/>
              </w:rPr>
            </w:pPr>
            <w:r w:rsidRPr="008B65FF">
              <w:rPr>
                <w:rFonts w:ascii="宋体" w:hAnsi="宋体" w:cs="宋体" w:hint="eastAsia"/>
                <w:b/>
                <w:bCs/>
                <w:kern w:val="0"/>
                <w:sz w:val="20"/>
                <w:szCs w:val="20"/>
              </w:rPr>
              <w:t>社会保障和就业支出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303.73</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303.73</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hint="eastAsia"/>
                <w:kern w:val="0"/>
                <w:sz w:val="20"/>
                <w:szCs w:val="20"/>
              </w:rPr>
              <w:t>行政事业单位离退休</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303.73</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303.73</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2080501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归口管理的行政单位离退休</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276.56</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276.56</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2080502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事业单位离退休</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27.17</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27.17</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210</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b/>
                <w:bCs/>
                <w:kern w:val="0"/>
                <w:sz w:val="20"/>
                <w:szCs w:val="20"/>
              </w:rPr>
            </w:pPr>
            <w:r w:rsidRPr="008B65FF">
              <w:rPr>
                <w:rFonts w:ascii="宋体" w:hAnsi="宋体" w:cs="宋体" w:hint="eastAsia"/>
                <w:b/>
                <w:bCs/>
                <w:kern w:val="0"/>
                <w:sz w:val="20"/>
                <w:szCs w:val="20"/>
              </w:rPr>
              <w:t>医疗卫生与计划生育支出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16.46</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16.46</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hint="eastAsia"/>
                <w:kern w:val="0"/>
                <w:sz w:val="20"/>
                <w:szCs w:val="20"/>
              </w:rPr>
              <w:t>医疗保障</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16.46</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16.46</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2100501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行政单位医疗</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14.31</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14.31</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2100502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事业单位医疗</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2.14</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2.14</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212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b/>
                <w:bCs/>
                <w:kern w:val="0"/>
                <w:sz w:val="20"/>
                <w:szCs w:val="20"/>
              </w:rPr>
            </w:pPr>
            <w:r w:rsidRPr="008B65FF">
              <w:rPr>
                <w:rFonts w:ascii="宋体" w:hAnsi="宋体" w:cs="宋体" w:hint="eastAsia"/>
                <w:b/>
                <w:bCs/>
                <w:kern w:val="0"/>
                <w:sz w:val="20"/>
                <w:szCs w:val="20"/>
              </w:rPr>
              <w:t>城乡社区支出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6,502.47</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6,193.84</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308.64</w:t>
            </w: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hint="eastAsia"/>
                <w:kern w:val="0"/>
                <w:sz w:val="20"/>
                <w:szCs w:val="20"/>
              </w:rPr>
              <w:t>城乡社区管理事务</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792.87</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488.79</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304.08</w:t>
            </w: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2120101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行政运行</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292.31</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289.89</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2.42</w:t>
            </w: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2120102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一般行政管理事务</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3.75</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3.75</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2120199</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其他城乡社区管理事务支出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496.81</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195.15</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301.66</w:t>
            </w:r>
          </w:p>
        </w:tc>
      </w:tr>
      <w:tr w:rsidR="00B129FF" w:rsidRPr="00085D5E">
        <w:trPr>
          <w:trHeight w:val="638"/>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hint="eastAsia"/>
                <w:kern w:val="0"/>
                <w:sz w:val="20"/>
                <w:szCs w:val="20"/>
              </w:rPr>
              <w:t>城乡社区规划与管理</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332.23</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327.68</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4.55</w:t>
            </w:r>
          </w:p>
        </w:tc>
      </w:tr>
      <w:tr w:rsidR="00B129FF" w:rsidRPr="00085D5E">
        <w:trPr>
          <w:trHeight w:val="710"/>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2120201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城乡社区规划与管理</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332.23</w:t>
            </w:r>
          </w:p>
        </w:tc>
        <w:tc>
          <w:tcPr>
            <w:tcW w:w="2268"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327.68</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Pr>
                <w:rFonts w:ascii="宋体" w:hAnsi="宋体" w:cs="宋体"/>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4.55</w:t>
            </w:r>
          </w:p>
        </w:tc>
      </w:tr>
      <w:tr w:rsidR="00B129FF" w:rsidRPr="00085D5E">
        <w:tc>
          <w:tcPr>
            <w:tcW w:w="1241" w:type="dxa"/>
            <w:gridSpan w:val="4"/>
            <w:tcBorders>
              <w:top w:val="single" w:sz="4" w:space="0" w:color="auto"/>
              <w:left w:val="single" w:sz="8"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lastRenderedPageBreak/>
              <w:t>21213</w:t>
            </w:r>
          </w:p>
        </w:tc>
        <w:tc>
          <w:tcPr>
            <w:tcW w:w="3862" w:type="dxa"/>
            <w:tcBorders>
              <w:top w:val="single" w:sz="4" w:space="0" w:color="auto"/>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16"/>
                <w:szCs w:val="16"/>
              </w:rPr>
            </w:pPr>
            <w:r w:rsidRPr="008B65FF">
              <w:rPr>
                <w:rFonts w:ascii="宋体" w:hAnsi="宋体" w:cs="宋体" w:hint="eastAsia"/>
                <w:kern w:val="0"/>
                <w:sz w:val="16"/>
                <w:szCs w:val="16"/>
              </w:rPr>
              <w:t>城市基础设施配套费及对应专项债务收入安排的支出</w:t>
            </w:r>
          </w:p>
        </w:tc>
        <w:tc>
          <w:tcPr>
            <w:tcW w:w="2268" w:type="dxa"/>
            <w:gridSpan w:val="2"/>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5,377.37</w:t>
            </w:r>
          </w:p>
        </w:tc>
        <w:tc>
          <w:tcPr>
            <w:tcW w:w="2268" w:type="dxa"/>
            <w:gridSpan w:val="2"/>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5,377.37</w:t>
            </w:r>
          </w:p>
        </w:tc>
        <w:tc>
          <w:tcPr>
            <w:tcW w:w="1276" w:type="dxa"/>
            <w:gridSpan w:val="2"/>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single" w:sz="4" w:space="0" w:color="auto"/>
              <w:left w:val="nil"/>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2121399</w:t>
            </w:r>
          </w:p>
        </w:tc>
        <w:tc>
          <w:tcPr>
            <w:tcW w:w="3862" w:type="dxa"/>
            <w:tcBorders>
              <w:top w:val="single" w:sz="4" w:space="0" w:color="auto"/>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其他城市基础设施配套</w:t>
            </w:r>
            <w:proofErr w:type="gramStart"/>
            <w:r w:rsidRPr="008B65FF">
              <w:rPr>
                <w:rFonts w:ascii="宋体" w:hAnsi="宋体" w:cs="宋体" w:hint="eastAsia"/>
                <w:kern w:val="0"/>
                <w:sz w:val="20"/>
                <w:szCs w:val="20"/>
              </w:rPr>
              <w:t>费安排</w:t>
            </w:r>
            <w:proofErr w:type="gramEnd"/>
            <w:r w:rsidRPr="008B65FF">
              <w:rPr>
                <w:rFonts w:ascii="宋体" w:hAnsi="宋体" w:cs="宋体" w:hint="eastAsia"/>
                <w:kern w:val="0"/>
                <w:sz w:val="20"/>
                <w:szCs w:val="20"/>
              </w:rPr>
              <w:t>的支出</w:t>
            </w:r>
          </w:p>
        </w:tc>
        <w:tc>
          <w:tcPr>
            <w:tcW w:w="2268"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5,377.37</w:t>
            </w:r>
          </w:p>
        </w:tc>
        <w:tc>
          <w:tcPr>
            <w:tcW w:w="2268"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5,377.37</w:t>
            </w:r>
          </w:p>
        </w:tc>
        <w:tc>
          <w:tcPr>
            <w:tcW w:w="1276"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single" w:sz="4" w:space="0" w:color="auto"/>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221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b/>
                <w:bCs/>
                <w:kern w:val="0"/>
                <w:sz w:val="20"/>
                <w:szCs w:val="20"/>
              </w:rPr>
            </w:pPr>
            <w:r w:rsidRPr="008B65FF">
              <w:rPr>
                <w:rFonts w:ascii="宋体" w:hAnsi="宋体" w:cs="宋体" w:hint="eastAsia"/>
                <w:b/>
                <w:bCs/>
                <w:kern w:val="0"/>
                <w:sz w:val="20"/>
                <w:szCs w:val="20"/>
              </w:rPr>
              <w:t>住房保障支出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30.24</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30.24</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22102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hint="eastAsia"/>
                <w:kern w:val="0"/>
                <w:sz w:val="20"/>
                <w:szCs w:val="20"/>
              </w:rPr>
              <w:t>住房改革支出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华文中宋" w:eastAsia="华文中宋" w:hAnsi="华文中宋" w:cs="华文中宋"/>
                <w:kern w:val="0"/>
                <w:sz w:val="24"/>
                <w:szCs w:val="24"/>
              </w:rPr>
            </w:pPr>
            <w:r w:rsidRPr="008B65FF">
              <w:rPr>
                <w:rFonts w:ascii="华文中宋" w:eastAsia="华文中宋" w:hAnsi="华文中宋" w:cs="华文中宋"/>
                <w:kern w:val="0"/>
                <w:sz w:val="24"/>
                <w:szCs w:val="24"/>
              </w:rPr>
              <w:t>30.24</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30.24</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8"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2210201</w:t>
            </w:r>
          </w:p>
        </w:tc>
        <w:tc>
          <w:tcPr>
            <w:tcW w:w="3862" w:type="dxa"/>
            <w:tcBorders>
              <w:top w:val="nil"/>
              <w:left w:val="nil"/>
              <w:bottom w:val="single" w:sz="8"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住房公积金</w:t>
            </w:r>
          </w:p>
        </w:tc>
        <w:tc>
          <w:tcPr>
            <w:tcW w:w="2268" w:type="dxa"/>
            <w:gridSpan w:val="2"/>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30.24</w:t>
            </w:r>
          </w:p>
        </w:tc>
        <w:tc>
          <w:tcPr>
            <w:tcW w:w="2268" w:type="dxa"/>
            <w:gridSpan w:val="2"/>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30.24</w:t>
            </w:r>
          </w:p>
        </w:tc>
        <w:tc>
          <w:tcPr>
            <w:tcW w:w="1276" w:type="dxa"/>
            <w:gridSpan w:val="2"/>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8"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615"/>
        </w:trPr>
        <w:tc>
          <w:tcPr>
            <w:tcW w:w="15260" w:type="dxa"/>
            <w:gridSpan w:val="18"/>
            <w:tcBorders>
              <w:top w:val="single" w:sz="8" w:space="0" w:color="auto"/>
              <w:left w:val="nil"/>
              <w:bottom w:val="nil"/>
              <w:right w:val="nil"/>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注：本表反映部门本年度取得的各项收入情况。</w:t>
            </w:r>
          </w:p>
        </w:tc>
      </w:tr>
      <w:tr w:rsidR="00B129FF" w:rsidRPr="00085D5E">
        <w:trPr>
          <w:trHeight w:val="435"/>
        </w:trPr>
        <w:tc>
          <w:tcPr>
            <w:tcW w:w="15260" w:type="dxa"/>
            <w:gridSpan w:val="18"/>
            <w:tcBorders>
              <w:top w:val="nil"/>
              <w:left w:val="nil"/>
              <w:bottom w:val="nil"/>
              <w:right w:val="nil"/>
            </w:tcBorders>
            <w:noWrap/>
            <w:vAlign w:val="center"/>
          </w:tcPr>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Pr="008B65FF" w:rsidRDefault="00B129FF" w:rsidP="008B65FF">
            <w:pPr>
              <w:widowControl/>
              <w:jc w:val="center"/>
              <w:rPr>
                <w:rFonts w:ascii="华文中宋" w:eastAsia="华文中宋" w:hAnsi="华文中宋" w:cs="Times New Roman"/>
                <w:color w:val="000000"/>
                <w:kern w:val="0"/>
                <w:sz w:val="32"/>
                <w:szCs w:val="32"/>
              </w:rPr>
            </w:pPr>
            <w:r w:rsidRPr="008B65FF">
              <w:rPr>
                <w:rFonts w:ascii="华文中宋" w:eastAsia="华文中宋" w:hAnsi="华文中宋" w:cs="华文中宋" w:hint="eastAsia"/>
                <w:color w:val="000000"/>
                <w:kern w:val="0"/>
                <w:sz w:val="32"/>
                <w:szCs w:val="32"/>
              </w:rPr>
              <w:lastRenderedPageBreak/>
              <w:t>支出决算表</w:t>
            </w:r>
          </w:p>
        </w:tc>
      </w:tr>
      <w:tr w:rsidR="00B129FF" w:rsidRPr="00085D5E">
        <w:trPr>
          <w:trHeight w:val="285"/>
        </w:trPr>
        <w:tc>
          <w:tcPr>
            <w:tcW w:w="470"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lastRenderedPageBreak/>
              <w:t xml:space="preserve">　</w:t>
            </w:r>
          </w:p>
        </w:tc>
        <w:tc>
          <w:tcPr>
            <w:tcW w:w="446"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5135"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923"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009"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009"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07"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03</w:t>
            </w:r>
            <w:r w:rsidRPr="008B65FF">
              <w:rPr>
                <w:rFonts w:ascii="宋体" w:hAnsi="宋体" w:cs="宋体" w:hint="eastAsia"/>
                <w:color w:val="000000"/>
                <w:kern w:val="0"/>
                <w:sz w:val="20"/>
                <w:szCs w:val="20"/>
              </w:rPr>
              <w:t>表</w:t>
            </w:r>
          </w:p>
        </w:tc>
      </w:tr>
      <w:tr w:rsidR="00B129FF" w:rsidRPr="00085D5E">
        <w:trPr>
          <w:trHeight w:val="240"/>
        </w:trPr>
        <w:tc>
          <w:tcPr>
            <w:tcW w:w="6051" w:type="dxa"/>
            <w:gridSpan w:val="6"/>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1923" w:type="dxa"/>
            <w:gridSpan w:val="2"/>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009" w:type="dxa"/>
            <w:gridSpan w:val="2"/>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009" w:type="dxa"/>
            <w:gridSpan w:val="3"/>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center"/>
              <w:rPr>
                <w:rFonts w:ascii="宋体" w:cs="Times New Roman"/>
                <w:color w:val="000000"/>
                <w:kern w:val="0"/>
                <w:sz w:val="20"/>
                <w:szCs w:val="20"/>
              </w:rPr>
            </w:pPr>
            <w:r w:rsidRPr="008B65FF">
              <w:rPr>
                <w:rFonts w:ascii="宋体" w:hAnsi="宋体" w:cs="宋体" w:hint="eastAsia"/>
                <w:color w:val="000000"/>
                <w:kern w:val="0"/>
                <w:sz w:val="20"/>
                <w:szCs w:val="20"/>
              </w:rPr>
              <w:t xml:space="preserve">　</w:t>
            </w:r>
          </w:p>
        </w:tc>
        <w:tc>
          <w:tcPr>
            <w:tcW w:w="1007" w:type="dxa"/>
            <w:gridSpan w:val="2"/>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trHeight w:val="360"/>
        </w:trPr>
        <w:tc>
          <w:tcPr>
            <w:tcW w:w="6051" w:type="dxa"/>
            <w:gridSpan w:val="6"/>
            <w:tcBorders>
              <w:top w:val="single" w:sz="4" w:space="0" w:color="auto"/>
              <w:left w:val="single" w:sz="4" w:space="0" w:color="auto"/>
              <w:bottom w:val="single" w:sz="4" w:space="0" w:color="auto"/>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项</w:t>
            </w:r>
            <w:r w:rsidRPr="008B65FF">
              <w:rPr>
                <w:rFonts w:ascii="宋体" w:hAnsi="宋体" w:cs="宋体"/>
                <w:kern w:val="0"/>
                <w:sz w:val="20"/>
                <w:szCs w:val="20"/>
              </w:rPr>
              <w:t xml:space="preserve">    </w:t>
            </w:r>
            <w:r w:rsidRPr="008B65FF">
              <w:rPr>
                <w:rFonts w:ascii="宋体" w:hAnsi="宋体" w:cs="宋体" w:hint="eastAsia"/>
                <w:kern w:val="0"/>
                <w:sz w:val="20"/>
                <w:szCs w:val="20"/>
              </w:rPr>
              <w:t>目</w:t>
            </w:r>
          </w:p>
        </w:tc>
        <w:tc>
          <w:tcPr>
            <w:tcW w:w="19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本年支出合计</w:t>
            </w:r>
          </w:p>
        </w:tc>
        <w:tc>
          <w:tcPr>
            <w:tcW w:w="20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基本支出</w:t>
            </w:r>
          </w:p>
        </w:tc>
        <w:tc>
          <w:tcPr>
            <w:tcW w:w="20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项目支出</w:t>
            </w:r>
          </w:p>
        </w:tc>
        <w:tc>
          <w:tcPr>
            <w:tcW w:w="100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上缴上级支出</w:t>
            </w:r>
          </w:p>
        </w:tc>
        <w:tc>
          <w:tcPr>
            <w:tcW w:w="104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经营支出</w:t>
            </w:r>
          </w:p>
        </w:tc>
        <w:tc>
          <w:tcPr>
            <w:tcW w:w="12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对附属单位补助支出</w:t>
            </w:r>
          </w:p>
        </w:tc>
      </w:tr>
      <w:tr w:rsidR="00B129FF" w:rsidRPr="00085D5E">
        <w:trPr>
          <w:trHeight w:val="525"/>
        </w:trPr>
        <w:tc>
          <w:tcPr>
            <w:tcW w:w="916" w:type="dxa"/>
            <w:gridSpan w:val="3"/>
            <w:vMerge w:val="restart"/>
            <w:tcBorders>
              <w:top w:val="single" w:sz="4" w:space="0" w:color="auto"/>
              <w:left w:val="single" w:sz="4" w:space="0" w:color="auto"/>
              <w:bottom w:val="single" w:sz="4" w:space="0" w:color="auto"/>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功能分类科目编码</w:t>
            </w:r>
          </w:p>
        </w:tc>
        <w:tc>
          <w:tcPr>
            <w:tcW w:w="51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科目名称</w:t>
            </w:r>
          </w:p>
        </w:tc>
        <w:tc>
          <w:tcPr>
            <w:tcW w:w="1923"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2009"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2009" w:type="dxa"/>
            <w:gridSpan w:val="3"/>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007"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r>
      <w:tr w:rsidR="00B129FF" w:rsidRPr="00085D5E">
        <w:trPr>
          <w:trHeight w:val="312"/>
        </w:trPr>
        <w:tc>
          <w:tcPr>
            <w:tcW w:w="916" w:type="dxa"/>
            <w:gridSpan w:val="3"/>
            <w:vMerge/>
            <w:tcBorders>
              <w:top w:val="single" w:sz="4" w:space="0" w:color="auto"/>
              <w:left w:val="single" w:sz="4" w:space="0" w:color="auto"/>
              <w:bottom w:val="single" w:sz="4" w:space="0" w:color="auto"/>
              <w:right w:val="nil"/>
            </w:tcBorders>
            <w:vAlign w:val="center"/>
          </w:tcPr>
          <w:p w:rsidR="00B129FF" w:rsidRPr="008B65FF" w:rsidRDefault="00B129FF" w:rsidP="008B65FF">
            <w:pPr>
              <w:widowControl/>
              <w:jc w:val="left"/>
              <w:rPr>
                <w:rFonts w:ascii="宋体" w:cs="Times New Roman"/>
                <w:kern w:val="0"/>
                <w:sz w:val="20"/>
                <w:szCs w:val="20"/>
              </w:rPr>
            </w:pPr>
          </w:p>
        </w:tc>
        <w:tc>
          <w:tcPr>
            <w:tcW w:w="5135" w:type="dxa"/>
            <w:gridSpan w:val="3"/>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923"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2009"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2009" w:type="dxa"/>
            <w:gridSpan w:val="3"/>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007"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r>
      <w:tr w:rsidR="00B129FF" w:rsidRPr="00085D5E">
        <w:trPr>
          <w:trHeight w:val="360"/>
        </w:trPr>
        <w:tc>
          <w:tcPr>
            <w:tcW w:w="605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栏次</w:t>
            </w:r>
          </w:p>
        </w:tc>
        <w:tc>
          <w:tcPr>
            <w:tcW w:w="192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20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c>
          <w:tcPr>
            <w:tcW w:w="20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w:t>
            </w:r>
          </w:p>
        </w:tc>
        <w:tc>
          <w:tcPr>
            <w:tcW w:w="10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w:t>
            </w:r>
          </w:p>
        </w:tc>
        <w:tc>
          <w:tcPr>
            <w:tcW w:w="104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6</w:t>
            </w:r>
          </w:p>
        </w:tc>
      </w:tr>
      <w:tr w:rsidR="00B129FF" w:rsidRPr="00085D5E">
        <w:trPr>
          <w:trHeight w:val="360"/>
        </w:trPr>
        <w:tc>
          <w:tcPr>
            <w:tcW w:w="605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合计</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4,529.62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865.30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3,664.32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b/>
                <w:bCs/>
                <w:kern w:val="0"/>
                <w:sz w:val="20"/>
                <w:szCs w:val="20"/>
              </w:rPr>
              <w:t>208</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社会保障和就业支出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303.73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303.73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20805</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行政事业单位离退休</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303.73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303.73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2080501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归口管理的行政单位离退休</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276.56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276.56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2080502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事业单位离退休</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27.17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27.17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b/>
                <w:bCs/>
                <w:kern w:val="0"/>
                <w:sz w:val="20"/>
                <w:szCs w:val="20"/>
              </w:rPr>
              <w:t>210</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医疗卫生与计划生育支出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16.46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16.46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21005</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医疗保障</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16.46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16.46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2100501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行政单位医疗</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14.31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14.31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2100502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事业单位医疗</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2.14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2.14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b/>
                <w:bCs/>
                <w:kern w:val="0"/>
                <w:sz w:val="20"/>
                <w:szCs w:val="20"/>
              </w:rPr>
              <w:t>212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城乡社区支出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4,180.40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516.08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3,664.32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城乡社区管理事务</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645.16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516.08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129.09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2120101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行政运行</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318.12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318.12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2120102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一般行政管理事务</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3.75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3.75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2120199</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其他城乡社区管理事务支出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323.29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194.21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129.09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城乡社区规划与管理</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327.68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327.68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2120201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城乡社区规划与管理</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327.68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327.68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21213</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18"/>
                <w:szCs w:val="18"/>
              </w:rPr>
            </w:pPr>
            <w:r w:rsidRPr="008B65FF">
              <w:rPr>
                <w:rFonts w:ascii="宋体" w:hAnsi="宋体" w:cs="宋体" w:hint="eastAsia"/>
                <w:kern w:val="0"/>
                <w:sz w:val="18"/>
                <w:szCs w:val="18"/>
              </w:rPr>
              <w:t>城市基础设施配套费及对应专项债务收入安排的支出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3,207.55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3,207.55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2121301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城市公共设施</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442.56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442.56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lastRenderedPageBreak/>
              <w:t>2121399</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其他城市基础设施配套</w:t>
            </w:r>
            <w:proofErr w:type="gramStart"/>
            <w:r w:rsidRPr="008B65FF">
              <w:rPr>
                <w:rFonts w:ascii="宋体" w:hAnsi="宋体" w:cs="宋体" w:hint="eastAsia"/>
                <w:kern w:val="0"/>
                <w:sz w:val="20"/>
                <w:szCs w:val="20"/>
              </w:rPr>
              <w:t>费安排</w:t>
            </w:r>
            <w:proofErr w:type="gramEnd"/>
            <w:r w:rsidRPr="008B65FF">
              <w:rPr>
                <w:rFonts w:ascii="宋体" w:hAnsi="宋体" w:cs="宋体" w:hint="eastAsia"/>
                <w:kern w:val="0"/>
                <w:sz w:val="20"/>
                <w:szCs w:val="20"/>
              </w:rPr>
              <w:t>的支出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2,764.99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2,764.99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b/>
                <w:bCs/>
                <w:kern w:val="0"/>
                <w:sz w:val="20"/>
                <w:szCs w:val="20"/>
              </w:rPr>
              <w:t>221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住房保障支出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22102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住房改革支出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2210201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住房公积金</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bl>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tbl>
      <w:tblPr>
        <w:tblW w:w="14680" w:type="dxa"/>
        <w:tblInd w:w="-106" w:type="dxa"/>
        <w:tblLook w:val="00A0" w:firstRow="1" w:lastRow="0" w:firstColumn="1" w:lastColumn="0" w:noHBand="0" w:noVBand="0"/>
      </w:tblPr>
      <w:tblGrid>
        <w:gridCol w:w="560"/>
        <w:gridCol w:w="560"/>
        <w:gridCol w:w="80"/>
        <w:gridCol w:w="630"/>
        <w:gridCol w:w="1178"/>
        <w:gridCol w:w="672"/>
        <w:gridCol w:w="171"/>
        <w:gridCol w:w="189"/>
        <w:gridCol w:w="112"/>
        <w:gridCol w:w="196"/>
        <w:gridCol w:w="948"/>
        <w:gridCol w:w="124"/>
        <w:gridCol w:w="744"/>
        <w:gridCol w:w="276"/>
        <w:gridCol w:w="520"/>
        <w:gridCol w:w="624"/>
        <w:gridCol w:w="376"/>
        <w:gridCol w:w="440"/>
        <w:gridCol w:w="354"/>
        <w:gridCol w:w="617"/>
        <w:gridCol w:w="135"/>
        <w:gridCol w:w="334"/>
        <w:gridCol w:w="163"/>
        <w:gridCol w:w="17"/>
        <w:gridCol w:w="816"/>
        <w:gridCol w:w="384"/>
        <w:gridCol w:w="200"/>
        <w:gridCol w:w="17"/>
        <w:gridCol w:w="43"/>
        <w:gridCol w:w="352"/>
        <w:gridCol w:w="1069"/>
        <w:gridCol w:w="45"/>
        <w:gridCol w:w="74"/>
        <w:gridCol w:w="1580"/>
        <w:gridCol w:w="80"/>
      </w:tblGrid>
      <w:tr w:rsidR="00B129FF" w:rsidRPr="00085D5E">
        <w:trPr>
          <w:gridAfter w:val="1"/>
          <w:wAfter w:w="80" w:type="dxa"/>
          <w:trHeight w:val="360"/>
        </w:trPr>
        <w:tc>
          <w:tcPr>
            <w:tcW w:w="14600" w:type="dxa"/>
            <w:gridSpan w:val="34"/>
            <w:tcBorders>
              <w:top w:val="nil"/>
              <w:left w:val="nil"/>
              <w:bottom w:val="nil"/>
              <w:right w:val="nil"/>
            </w:tcBorders>
            <w:noWrap/>
            <w:vAlign w:val="center"/>
          </w:tcPr>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Pr="008B65FF" w:rsidRDefault="00B129FF" w:rsidP="008B65FF">
            <w:pPr>
              <w:widowControl/>
              <w:jc w:val="center"/>
              <w:rPr>
                <w:rFonts w:ascii="华文中宋" w:eastAsia="华文中宋" w:hAnsi="华文中宋" w:cs="Times New Roman"/>
                <w:color w:val="000000"/>
                <w:kern w:val="0"/>
                <w:sz w:val="32"/>
                <w:szCs w:val="32"/>
              </w:rPr>
            </w:pPr>
            <w:r w:rsidRPr="008B65FF">
              <w:rPr>
                <w:rFonts w:ascii="华文中宋" w:eastAsia="华文中宋" w:hAnsi="华文中宋" w:cs="华文中宋" w:hint="eastAsia"/>
                <w:color w:val="000000"/>
                <w:kern w:val="0"/>
                <w:sz w:val="32"/>
                <w:szCs w:val="32"/>
              </w:rPr>
              <w:lastRenderedPageBreak/>
              <w:t>财政拨款收入支出决算总表</w:t>
            </w:r>
          </w:p>
        </w:tc>
      </w:tr>
      <w:tr w:rsidR="00B129FF" w:rsidRPr="00085D5E">
        <w:trPr>
          <w:gridAfter w:val="1"/>
          <w:wAfter w:w="80" w:type="dxa"/>
          <w:trHeight w:val="199"/>
        </w:trPr>
        <w:tc>
          <w:tcPr>
            <w:tcW w:w="3851" w:type="dxa"/>
            <w:gridSpan w:val="7"/>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lastRenderedPageBreak/>
              <w:t xml:space="preserve">　</w:t>
            </w:r>
          </w:p>
        </w:tc>
        <w:tc>
          <w:tcPr>
            <w:tcW w:w="497"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816"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3342" w:type="dxa"/>
            <w:gridSpan w:val="8"/>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497"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434" w:type="dxa"/>
            <w:gridSpan w:val="5"/>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509" w:type="dxa"/>
            <w:gridSpan w:val="4"/>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654"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04</w:t>
            </w:r>
            <w:r w:rsidRPr="008B65FF">
              <w:rPr>
                <w:rFonts w:ascii="宋体" w:hAnsi="宋体" w:cs="宋体" w:hint="eastAsia"/>
                <w:color w:val="000000"/>
                <w:kern w:val="0"/>
                <w:sz w:val="20"/>
                <w:szCs w:val="20"/>
              </w:rPr>
              <w:t>表</w:t>
            </w:r>
          </w:p>
        </w:tc>
      </w:tr>
      <w:tr w:rsidR="00B129FF" w:rsidRPr="00085D5E">
        <w:trPr>
          <w:gridAfter w:val="1"/>
          <w:wAfter w:w="80" w:type="dxa"/>
          <w:trHeight w:val="300"/>
        </w:trPr>
        <w:tc>
          <w:tcPr>
            <w:tcW w:w="3851" w:type="dxa"/>
            <w:gridSpan w:val="7"/>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497"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816"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3342" w:type="dxa"/>
            <w:gridSpan w:val="8"/>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497"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434" w:type="dxa"/>
            <w:gridSpan w:val="5"/>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509" w:type="dxa"/>
            <w:gridSpan w:val="4"/>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654"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gridAfter w:val="1"/>
          <w:wAfter w:w="80" w:type="dxa"/>
          <w:trHeight w:val="402"/>
        </w:trPr>
        <w:tc>
          <w:tcPr>
            <w:tcW w:w="6164" w:type="dxa"/>
            <w:gridSpan w:val="13"/>
            <w:tcBorders>
              <w:top w:val="single" w:sz="8" w:space="0" w:color="auto"/>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收入</w:t>
            </w:r>
          </w:p>
        </w:tc>
        <w:tc>
          <w:tcPr>
            <w:tcW w:w="8436" w:type="dxa"/>
            <w:gridSpan w:val="21"/>
            <w:tcBorders>
              <w:top w:val="single" w:sz="8" w:space="0" w:color="auto"/>
              <w:left w:val="nil"/>
              <w:bottom w:val="single" w:sz="4" w:space="0" w:color="auto"/>
              <w:right w:val="single" w:sz="8" w:space="0" w:color="000000"/>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支出</w:t>
            </w:r>
          </w:p>
        </w:tc>
      </w:tr>
      <w:tr w:rsidR="00B129FF" w:rsidRPr="00085D5E">
        <w:trPr>
          <w:gridAfter w:val="1"/>
          <w:wAfter w:w="80" w:type="dxa"/>
          <w:trHeight w:val="630"/>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hint="eastAsia"/>
                <w:kern w:val="0"/>
                <w:sz w:val="24"/>
                <w:szCs w:val="24"/>
              </w:rPr>
              <w:t>目</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行次</w:t>
            </w:r>
          </w:p>
        </w:tc>
        <w:tc>
          <w:tcPr>
            <w:tcW w:w="1816"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金额</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hint="eastAsia"/>
                <w:kern w:val="0"/>
                <w:sz w:val="24"/>
                <w:szCs w:val="24"/>
              </w:rPr>
              <w:t>目</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行次</w:t>
            </w:r>
          </w:p>
        </w:tc>
        <w:tc>
          <w:tcPr>
            <w:tcW w:w="1434" w:type="dxa"/>
            <w:gridSpan w:val="5"/>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合计</w:t>
            </w:r>
          </w:p>
        </w:tc>
        <w:tc>
          <w:tcPr>
            <w:tcW w:w="1509" w:type="dxa"/>
            <w:gridSpan w:val="4"/>
            <w:tcBorders>
              <w:top w:val="nil"/>
              <w:left w:val="nil"/>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一般公共预算财政拨款</w:t>
            </w:r>
          </w:p>
        </w:tc>
        <w:tc>
          <w:tcPr>
            <w:tcW w:w="1654" w:type="dxa"/>
            <w:gridSpan w:val="2"/>
            <w:tcBorders>
              <w:top w:val="nil"/>
              <w:left w:val="nil"/>
              <w:bottom w:val="single" w:sz="4" w:space="0" w:color="auto"/>
              <w:right w:val="single" w:sz="8" w:space="0" w:color="auto"/>
            </w:tcBorders>
            <w:shd w:val="clear" w:color="000000" w:fill="FFFFFF"/>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政府性基金预算财政拨款</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w:t>
            </w:r>
            <w:r w:rsidRPr="008B65FF">
              <w:rPr>
                <w:rFonts w:ascii="宋体" w:hAnsi="宋体" w:cs="宋体"/>
                <w:kern w:val="0"/>
                <w:sz w:val="24"/>
                <w:szCs w:val="24"/>
              </w:rPr>
              <w:t xml:space="preserve">    </w:t>
            </w:r>
            <w:r w:rsidRPr="008B65FF">
              <w:rPr>
                <w:rFonts w:ascii="宋体" w:hAnsi="宋体" w:cs="宋体" w:hint="eastAsia"/>
                <w:kern w:val="0"/>
                <w:sz w:val="24"/>
                <w:szCs w:val="24"/>
              </w:rPr>
              <w:t>次</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816"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w:t>
            </w:r>
            <w:r w:rsidRPr="008B65FF">
              <w:rPr>
                <w:rFonts w:ascii="宋体" w:hAnsi="宋体" w:cs="宋体"/>
                <w:kern w:val="0"/>
                <w:sz w:val="24"/>
                <w:szCs w:val="24"/>
              </w:rPr>
              <w:t xml:space="preserve">    </w:t>
            </w:r>
            <w:r w:rsidRPr="008B65FF">
              <w:rPr>
                <w:rFonts w:ascii="宋体" w:hAnsi="宋体" w:cs="宋体" w:hint="eastAsia"/>
                <w:kern w:val="0"/>
                <w:sz w:val="24"/>
                <w:szCs w:val="24"/>
              </w:rPr>
              <w:t>次</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434" w:type="dxa"/>
            <w:gridSpan w:val="5"/>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c>
          <w:tcPr>
            <w:tcW w:w="1509" w:type="dxa"/>
            <w:gridSpan w:val="4"/>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w:t>
            </w:r>
          </w:p>
        </w:tc>
        <w:tc>
          <w:tcPr>
            <w:tcW w:w="1654" w:type="dxa"/>
            <w:gridSpan w:val="2"/>
            <w:tcBorders>
              <w:top w:val="nil"/>
              <w:left w:val="nil"/>
              <w:bottom w:val="single" w:sz="4" w:space="0" w:color="auto"/>
              <w:right w:val="single" w:sz="8"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一、一般公共预算财政拨款</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1,166.90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一、社会保障和就业支出</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15</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303.73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303.73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二、政府性基金预算财政拨款</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5,377.37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二、医疗卫生与计划生育支出</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16</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16.46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16.46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3</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三、城乡社区支出</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17</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3,956.42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815.53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3,140.90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4</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四、住房保障支出</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18</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29.04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29.04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5</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19</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6</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20</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7</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 xml:space="preserve">　</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21</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8</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nil"/>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22</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center"/>
              <w:rPr>
                <w:rFonts w:ascii="宋体" w:cs="Times New Roman"/>
                <w:b/>
                <w:bCs/>
                <w:kern w:val="0"/>
                <w:sz w:val="22"/>
              </w:rPr>
            </w:pPr>
            <w:r w:rsidRPr="008B65FF">
              <w:rPr>
                <w:rFonts w:ascii="宋体" w:hAnsi="宋体" w:cs="宋体" w:hint="eastAsia"/>
                <w:b/>
                <w:bCs/>
                <w:kern w:val="0"/>
                <w:sz w:val="22"/>
                <w:szCs w:val="22"/>
              </w:rPr>
              <w:t>本年收入合计</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9</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6,544.27 </w:t>
            </w:r>
          </w:p>
        </w:tc>
        <w:tc>
          <w:tcPr>
            <w:tcW w:w="3342" w:type="dxa"/>
            <w:gridSpan w:val="8"/>
            <w:tcBorders>
              <w:top w:val="nil"/>
              <w:left w:val="nil"/>
              <w:bottom w:val="single" w:sz="4" w:space="0" w:color="auto"/>
              <w:right w:val="nil"/>
            </w:tcBorders>
            <w:noWrap/>
            <w:vAlign w:val="center"/>
          </w:tcPr>
          <w:p w:rsidR="00B129FF" w:rsidRPr="008B65FF" w:rsidRDefault="00B129FF" w:rsidP="008B65FF">
            <w:pPr>
              <w:widowControl/>
              <w:jc w:val="center"/>
              <w:rPr>
                <w:rFonts w:ascii="宋体" w:cs="Times New Roman"/>
                <w:b/>
                <w:bCs/>
                <w:kern w:val="0"/>
                <w:sz w:val="22"/>
              </w:rPr>
            </w:pPr>
            <w:r w:rsidRPr="008B65FF">
              <w:rPr>
                <w:rFonts w:ascii="宋体" w:hAnsi="宋体" w:cs="宋体" w:hint="eastAsia"/>
                <w:b/>
                <w:bCs/>
                <w:kern w:val="0"/>
                <w:sz w:val="22"/>
                <w:szCs w:val="22"/>
              </w:rPr>
              <w:t>本年支出合计</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23</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4,305.65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1,164.75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3,140.90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年初财政拨款结转和结余</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10</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5,623.32 </w:t>
            </w:r>
          </w:p>
        </w:tc>
        <w:tc>
          <w:tcPr>
            <w:tcW w:w="3342" w:type="dxa"/>
            <w:gridSpan w:val="8"/>
            <w:tcBorders>
              <w:top w:val="nil"/>
              <w:left w:val="nil"/>
              <w:bottom w:val="single" w:sz="4" w:space="0" w:color="auto"/>
              <w:right w:val="nil"/>
            </w:tcBorders>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年末结转和结余</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24</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7,861.94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127.76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7,734.18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一般公共预算财政拨款</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11</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125.61 </w:t>
            </w:r>
          </w:p>
        </w:tc>
        <w:tc>
          <w:tcPr>
            <w:tcW w:w="3342" w:type="dxa"/>
            <w:gridSpan w:val="8"/>
            <w:tcBorders>
              <w:top w:val="nil"/>
              <w:left w:val="nil"/>
              <w:bottom w:val="single" w:sz="4" w:space="0" w:color="auto"/>
              <w:right w:val="nil"/>
            </w:tcBorders>
            <w:noWrap/>
            <w:vAlign w:val="center"/>
          </w:tcPr>
          <w:p w:rsidR="00B129FF" w:rsidRPr="008B65FF" w:rsidRDefault="00B129FF" w:rsidP="00F97D9A">
            <w:pPr>
              <w:widowControl/>
              <w:jc w:val="center"/>
              <w:rPr>
                <w:rFonts w:ascii="宋体" w:cs="Times New Roman"/>
                <w:kern w:val="0"/>
                <w:sz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一般公共预算财政拨款</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25</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127.76</w:t>
            </w: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127.76</w:t>
            </w: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nil"/>
              <w:right w:val="nil"/>
            </w:tcBorders>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政府性基金预算财政拨款</w:t>
            </w:r>
          </w:p>
        </w:tc>
        <w:tc>
          <w:tcPr>
            <w:tcW w:w="497" w:type="dxa"/>
            <w:gridSpan w:val="3"/>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12</w:t>
            </w:r>
          </w:p>
        </w:tc>
        <w:tc>
          <w:tcPr>
            <w:tcW w:w="1816" w:type="dxa"/>
            <w:gridSpan w:val="3"/>
            <w:tcBorders>
              <w:top w:val="nil"/>
              <w:left w:val="nil"/>
              <w:bottom w:val="nil"/>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5,497.71 </w:t>
            </w:r>
          </w:p>
        </w:tc>
        <w:tc>
          <w:tcPr>
            <w:tcW w:w="3342" w:type="dxa"/>
            <w:gridSpan w:val="8"/>
            <w:tcBorders>
              <w:top w:val="nil"/>
              <w:left w:val="nil"/>
              <w:bottom w:val="nil"/>
              <w:right w:val="nil"/>
            </w:tcBorders>
            <w:noWrap/>
            <w:vAlign w:val="center"/>
          </w:tcPr>
          <w:p w:rsidR="00B129FF" w:rsidRPr="008B65FF" w:rsidRDefault="00B129FF" w:rsidP="00F97D9A">
            <w:pPr>
              <w:widowControl/>
              <w:jc w:val="center"/>
              <w:rPr>
                <w:rFonts w:ascii="宋体" w:cs="Times New Roman"/>
                <w:kern w:val="0"/>
                <w:sz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政府性基金预算财政拨款</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26</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7,734.18</w:t>
            </w: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7,734.18</w:t>
            </w: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single" w:sz="4" w:space="0" w:color="auto"/>
              <w:left w:val="single" w:sz="8" w:space="0" w:color="auto"/>
              <w:bottom w:val="nil"/>
              <w:right w:val="nil"/>
            </w:tcBorders>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3"/>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13</w:t>
            </w:r>
          </w:p>
        </w:tc>
        <w:tc>
          <w:tcPr>
            <w:tcW w:w="1816" w:type="dxa"/>
            <w:gridSpan w:val="3"/>
            <w:tcBorders>
              <w:top w:val="single" w:sz="4" w:space="0" w:color="auto"/>
              <w:left w:val="nil"/>
              <w:bottom w:val="nil"/>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342" w:type="dxa"/>
            <w:gridSpan w:val="8"/>
            <w:tcBorders>
              <w:top w:val="single" w:sz="4" w:space="0" w:color="auto"/>
              <w:left w:val="nil"/>
              <w:bottom w:val="nil"/>
              <w:right w:val="nil"/>
            </w:tcBorders>
            <w:noWrap/>
            <w:vAlign w:val="center"/>
          </w:tcPr>
          <w:p w:rsidR="00B129FF" w:rsidRPr="008B65FF" w:rsidRDefault="00B129FF" w:rsidP="008B65FF">
            <w:pPr>
              <w:widowControl/>
              <w:jc w:val="left"/>
              <w:rPr>
                <w:rFonts w:ascii="宋体" w:cs="Times New Roman"/>
                <w:kern w:val="0"/>
                <w:sz w:val="22"/>
              </w:rPr>
            </w:pPr>
            <w:r w:rsidRPr="008B65FF">
              <w:rPr>
                <w:rFonts w:ascii="宋体" w:hAnsi="宋体" w:cs="宋体" w:hint="eastAsia"/>
                <w:kern w:val="0"/>
                <w:sz w:val="22"/>
                <w:szCs w:val="22"/>
              </w:rPr>
              <w:t xml:space="preserve">　</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27</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single" w:sz="4" w:space="0" w:color="auto"/>
              <w:left w:val="single" w:sz="8" w:space="0" w:color="auto"/>
              <w:bottom w:val="single" w:sz="8" w:space="0" w:color="auto"/>
              <w:right w:val="nil"/>
            </w:tcBorders>
            <w:shd w:val="clear" w:color="000000" w:fill="FFFFFF"/>
            <w:noWrap/>
            <w:vAlign w:val="center"/>
          </w:tcPr>
          <w:p w:rsidR="00B129FF" w:rsidRPr="008B65FF" w:rsidRDefault="00B129FF" w:rsidP="008B65FF">
            <w:pPr>
              <w:widowControl/>
              <w:jc w:val="center"/>
              <w:rPr>
                <w:rFonts w:ascii="宋体" w:cs="Times New Roman"/>
                <w:b/>
                <w:bCs/>
                <w:kern w:val="0"/>
                <w:sz w:val="22"/>
              </w:rPr>
            </w:pPr>
            <w:r w:rsidRPr="008B65FF">
              <w:rPr>
                <w:rFonts w:ascii="宋体" w:hAnsi="宋体" w:cs="宋体" w:hint="eastAsia"/>
                <w:b/>
                <w:bCs/>
                <w:kern w:val="0"/>
                <w:sz w:val="22"/>
                <w:szCs w:val="22"/>
              </w:rPr>
              <w:t>合计</w:t>
            </w:r>
          </w:p>
        </w:tc>
        <w:tc>
          <w:tcPr>
            <w:tcW w:w="497" w:type="dxa"/>
            <w:gridSpan w:val="3"/>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14</w:t>
            </w:r>
          </w:p>
        </w:tc>
        <w:tc>
          <w:tcPr>
            <w:tcW w:w="1816" w:type="dxa"/>
            <w:gridSpan w:val="3"/>
            <w:tcBorders>
              <w:top w:val="single" w:sz="4" w:space="0" w:color="auto"/>
              <w:left w:val="nil"/>
              <w:bottom w:val="single" w:sz="8"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12,167.59 </w:t>
            </w:r>
          </w:p>
        </w:tc>
        <w:tc>
          <w:tcPr>
            <w:tcW w:w="3342" w:type="dxa"/>
            <w:gridSpan w:val="8"/>
            <w:tcBorders>
              <w:top w:val="single" w:sz="4" w:space="0" w:color="auto"/>
              <w:left w:val="nil"/>
              <w:bottom w:val="single" w:sz="8" w:space="0" w:color="auto"/>
              <w:right w:val="nil"/>
            </w:tcBorders>
            <w:shd w:val="clear" w:color="000000" w:fill="FFFFFF"/>
            <w:noWrap/>
            <w:vAlign w:val="center"/>
          </w:tcPr>
          <w:p w:rsidR="00B129FF" w:rsidRPr="008B65FF" w:rsidRDefault="00B129FF" w:rsidP="008B65FF">
            <w:pPr>
              <w:widowControl/>
              <w:jc w:val="center"/>
              <w:rPr>
                <w:rFonts w:ascii="宋体" w:cs="Times New Roman"/>
                <w:b/>
                <w:bCs/>
                <w:kern w:val="0"/>
                <w:sz w:val="22"/>
              </w:rPr>
            </w:pPr>
            <w:r w:rsidRPr="008B65FF">
              <w:rPr>
                <w:rFonts w:ascii="宋体" w:hAnsi="宋体" w:cs="宋体" w:hint="eastAsia"/>
                <w:b/>
                <w:bCs/>
                <w:kern w:val="0"/>
                <w:sz w:val="22"/>
                <w:szCs w:val="22"/>
              </w:rPr>
              <w:t>合计</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28</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12,167.59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1,292.51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10,875.08 </w:t>
            </w:r>
          </w:p>
        </w:tc>
      </w:tr>
      <w:tr w:rsidR="00B129FF" w:rsidRPr="00085D5E">
        <w:trPr>
          <w:gridAfter w:val="1"/>
          <w:wAfter w:w="80" w:type="dxa"/>
          <w:trHeight w:val="375"/>
        </w:trPr>
        <w:tc>
          <w:tcPr>
            <w:tcW w:w="14600" w:type="dxa"/>
            <w:gridSpan w:val="34"/>
            <w:tcBorders>
              <w:top w:val="single" w:sz="8" w:space="0" w:color="auto"/>
              <w:left w:val="single" w:sz="8" w:space="0" w:color="auto"/>
              <w:bottom w:val="single" w:sz="8" w:space="0" w:color="auto"/>
              <w:right w:val="single" w:sz="8" w:space="0" w:color="000000"/>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注：</w:t>
            </w:r>
            <w:r w:rsidRPr="008B65FF">
              <w:rPr>
                <w:rFonts w:ascii="宋体" w:hAnsi="宋体" w:cs="宋体"/>
                <w:kern w:val="0"/>
                <w:sz w:val="20"/>
                <w:szCs w:val="20"/>
              </w:rPr>
              <w:t>1.</w:t>
            </w:r>
            <w:r w:rsidRPr="008B65FF">
              <w:rPr>
                <w:rFonts w:ascii="宋体" w:hAnsi="宋体" w:cs="宋体" w:hint="eastAsia"/>
                <w:kern w:val="0"/>
                <w:sz w:val="20"/>
                <w:szCs w:val="20"/>
              </w:rPr>
              <w:t>本表反映部门本年度一般公共预算财政拨款和政府性基金预算财政拨款的总收支和年末结转结余情况。</w:t>
            </w:r>
          </w:p>
        </w:tc>
      </w:tr>
      <w:tr w:rsidR="00B129FF" w:rsidRPr="00085D5E">
        <w:trPr>
          <w:gridAfter w:val="1"/>
          <w:wAfter w:w="80" w:type="dxa"/>
          <w:trHeight w:val="300"/>
        </w:trPr>
        <w:tc>
          <w:tcPr>
            <w:tcW w:w="14600" w:type="dxa"/>
            <w:gridSpan w:val="34"/>
            <w:tcBorders>
              <w:top w:val="nil"/>
              <w:left w:val="single" w:sz="8" w:space="0" w:color="auto"/>
              <w:bottom w:val="single" w:sz="8" w:space="0" w:color="auto"/>
              <w:right w:val="single" w:sz="8" w:space="0" w:color="000000"/>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lastRenderedPageBreak/>
              <w:t xml:space="preserve">    2.</w:t>
            </w:r>
            <w:r w:rsidRPr="008B65FF">
              <w:rPr>
                <w:rFonts w:ascii="宋体" w:hAnsi="宋体" w:cs="宋体" w:hint="eastAsia"/>
                <w:kern w:val="0"/>
                <w:sz w:val="20"/>
                <w:szCs w:val="20"/>
              </w:rPr>
              <w:t>部门在公开财政拨款收入支出决算总表时，“本年支出合计”、“年末结转和结余”要细化到一般公共预算财政拨款和政府性基金预算财政拨款。</w:t>
            </w:r>
          </w:p>
        </w:tc>
      </w:tr>
      <w:tr w:rsidR="00B129FF" w:rsidRPr="00085D5E">
        <w:trPr>
          <w:gridAfter w:val="1"/>
          <w:wAfter w:w="80" w:type="dxa"/>
          <w:trHeight w:val="222"/>
        </w:trPr>
        <w:tc>
          <w:tcPr>
            <w:tcW w:w="560" w:type="dxa"/>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2560" w:type="dxa"/>
            <w:gridSpan w:val="4"/>
            <w:tcBorders>
              <w:top w:val="nil"/>
              <w:left w:val="nil"/>
              <w:bottom w:val="nil"/>
              <w:right w:val="nil"/>
            </w:tcBorders>
            <w:shd w:val="clear" w:color="000000" w:fill="FFFFFF"/>
            <w:vAlign w:val="center"/>
          </w:tcPr>
          <w:p w:rsidR="00B129FF" w:rsidRPr="009A123B" w:rsidRDefault="00B129FF" w:rsidP="009A123B">
            <w:pPr>
              <w:widowControl/>
              <w:rPr>
                <w:rFonts w:ascii="宋体" w:cs="Times New Roman"/>
                <w:kern w:val="0"/>
                <w:sz w:val="20"/>
                <w:szCs w:val="20"/>
              </w:rPr>
            </w:pPr>
            <w:r w:rsidRPr="008B65FF">
              <w:rPr>
                <w:rFonts w:ascii="宋体" w:hAnsi="宋体" w:cs="宋体" w:hint="eastAsia"/>
                <w:kern w:val="0"/>
                <w:sz w:val="20"/>
                <w:szCs w:val="20"/>
              </w:rPr>
              <w:t xml:space="preserve">　</w:t>
            </w:r>
          </w:p>
        </w:tc>
        <w:tc>
          <w:tcPr>
            <w:tcW w:w="5691" w:type="dxa"/>
            <w:gridSpan w:val="14"/>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p w:rsidR="00B129FF" w:rsidRDefault="00B129FF" w:rsidP="009A123B">
            <w:pPr>
              <w:jc w:val="center"/>
              <w:rPr>
                <w:rFonts w:ascii="华文中宋" w:eastAsia="华文中宋" w:hAnsi="华文中宋" w:cs="Times New Roman"/>
                <w:sz w:val="32"/>
                <w:szCs w:val="32"/>
              </w:rPr>
            </w:pPr>
            <w:r w:rsidRPr="00085D5E">
              <w:rPr>
                <w:rFonts w:ascii="华文中宋" w:eastAsia="华文中宋" w:hAnsi="华文中宋" w:cs="华文中宋" w:hint="eastAsia"/>
                <w:sz w:val="32"/>
                <w:szCs w:val="32"/>
              </w:rPr>
              <w:t>一般公共预算财政拨款支出决算表</w:t>
            </w:r>
          </w:p>
          <w:p w:rsidR="00B129FF" w:rsidRPr="009A123B" w:rsidRDefault="00B129FF" w:rsidP="008B65FF">
            <w:pPr>
              <w:widowControl/>
              <w:jc w:val="left"/>
              <w:rPr>
                <w:rFonts w:ascii="宋体" w:cs="Times New Roman"/>
                <w:kern w:val="0"/>
                <w:sz w:val="20"/>
                <w:szCs w:val="20"/>
              </w:rPr>
            </w:pPr>
          </w:p>
        </w:tc>
        <w:tc>
          <w:tcPr>
            <w:tcW w:w="1849" w:type="dxa"/>
            <w:gridSpan w:val="6"/>
            <w:tcBorders>
              <w:top w:val="nil"/>
              <w:left w:val="nil"/>
              <w:bottom w:val="nil"/>
              <w:right w:val="nil"/>
            </w:tcBorders>
            <w:shd w:val="clear" w:color="000000" w:fill="FFFFFF"/>
            <w:vAlign w:val="center"/>
          </w:tcPr>
          <w:p w:rsidR="00B129FF" w:rsidRPr="009A123B"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380" w:type="dxa"/>
            <w:gridSpan w:val="8"/>
            <w:tcBorders>
              <w:top w:val="nil"/>
              <w:left w:val="nil"/>
              <w:bottom w:val="nil"/>
              <w:right w:val="nil"/>
            </w:tcBorders>
            <w:shd w:val="clear" w:color="000000" w:fill="FFFFFF"/>
            <w:noWrap/>
            <w:vAlign w:val="center"/>
          </w:tcPr>
          <w:p w:rsidR="00B129FF" w:rsidRDefault="00B129FF" w:rsidP="00F0487A">
            <w:pPr>
              <w:widowControl/>
              <w:jc w:val="left"/>
              <w:rPr>
                <w:rFonts w:ascii="宋体" w:cs="Times New Roman"/>
                <w:color w:val="000000"/>
                <w:kern w:val="0"/>
                <w:sz w:val="20"/>
                <w:szCs w:val="20"/>
              </w:rPr>
            </w:pPr>
          </w:p>
          <w:p w:rsidR="00B129FF" w:rsidRDefault="00B129FF" w:rsidP="008B65FF">
            <w:pPr>
              <w:widowControl/>
              <w:jc w:val="right"/>
              <w:rPr>
                <w:rFonts w:ascii="宋体" w:cs="Times New Roman"/>
                <w:color w:val="000000"/>
                <w:kern w:val="0"/>
                <w:sz w:val="20"/>
                <w:szCs w:val="20"/>
              </w:rPr>
            </w:pPr>
          </w:p>
          <w:p w:rsidR="00B129FF" w:rsidRDefault="00B129FF" w:rsidP="008B65FF">
            <w:pPr>
              <w:widowControl/>
              <w:jc w:val="right"/>
              <w:rPr>
                <w:rFonts w:ascii="宋体" w:cs="Times New Roman"/>
                <w:color w:val="000000"/>
                <w:kern w:val="0"/>
                <w:sz w:val="20"/>
                <w:szCs w:val="20"/>
              </w:rPr>
            </w:pPr>
          </w:p>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05</w:t>
            </w:r>
            <w:r w:rsidRPr="008B65FF">
              <w:rPr>
                <w:rFonts w:ascii="宋体" w:hAnsi="宋体" w:cs="宋体" w:hint="eastAsia"/>
                <w:color w:val="000000"/>
                <w:kern w:val="0"/>
                <w:sz w:val="20"/>
                <w:szCs w:val="20"/>
              </w:rPr>
              <w:t>表</w:t>
            </w:r>
          </w:p>
        </w:tc>
      </w:tr>
      <w:tr w:rsidR="00B129FF" w:rsidRPr="00085D5E">
        <w:trPr>
          <w:gridAfter w:val="1"/>
          <w:wAfter w:w="80" w:type="dxa"/>
          <w:trHeight w:val="300"/>
        </w:trPr>
        <w:tc>
          <w:tcPr>
            <w:tcW w:w="3680" w:type="dxa"/>
            <w:gridSpan w:val="6"/>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5691" w:type="dxa"/>
            <w:gridSpan w:val="14"/>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849" w:type="dxa"/>
            <w:gridSpan w:val="6"/>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380" w:type="dxa"/>
            <w:gridSpan w:val="8"/>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gridAfter w:val="1"/>
          <w:wAfter w:w="80" w:type="dxa"/>
          <w:trHeight w:val="379"/>
        </w:trPr>
        <w:tc>
          <w:tcPr>
            <w:tcW w:w="3680" w:type="dxa"/>
            <w:gridSpan w:val="6"/>
            <w:tcBorders>
              <w:top w:val="single" w:sz="8"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color w:val="000000"/>
                <w:kern w:val="0"/>
                <w:sz w:val="22"/>
                <w:szCs w:val="22"/>
              </w:rPr>
              <w:t xml:space="preserve">   </w:t>
            </w:r>
            <w:r w:rsidRPr="008B65FF">
              <w:rPr>
                <w:rFonts w:ascii="宋体" w:hAnsi="宋体" w:cs="宋体" w:hint="eastAsia"/>
                <w:kern w:val="0"/>
                <w:sz w:val="24"/>
                <w:szCs w:val="24"/>
              </w:rPr>
              <w:t>目</w:t>
            </w:r>
          </w:p>
        </w:tc>
        <w:tc>
          <w:tcPr>
            <w:tcW w:w="5691" w:type="dxa"/>
            <w:gridSpan w:val="14"/>
            <w:vMerge w:val="restart"/>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本年支出合计</w:t>
            </w:r>
          </w:p>
        </w:tc>
        <w:tc>
          <w:tcPr>
            <w:tcW w:w="1849" w:type="dxa"/>
            <w:gridSpan w:val="6"/>
            <w:vMerge w:val="restart"/>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基本支出</w:t>
            </w:r>
            <w:r w:rsidRPr="008B65FF">
              <w:rPr>
                <w:rFonts w:ascii="宋体" w:hAnsi="宋体" w:cs="宋体"/>
                <w:kern w:val="0"/>
                <w:sz w:val="24"/>
                <w:szCs w:val="24"/>
              </w:rPr>
              <w:t xml:space="preserve">  </w:t>
            </w:r>
          </w:p>
        </w:tc>
        <w:tc>
          <w:tcPr>
            <w:tcW w:w="3380" w:type="dxa"/>
            <w:gridSpan w:val="8"/>
            <w:vMerge w:val="restart"/>
            <w:tcBorders>
              <w:top w:val="single" w:sz="8" w:space="0" w:color="auto"/>
              <w:left w:val="single" w:sz="4" w:space="0" w:color="auto"/>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项目支出</w:t>
            </w:r>
          </w:p>
        </w:tc>
      </w:tr>
      <w:tr w:rsidR="00B129FF" w:rsidRPr="00085D5E">
        <w:trPr>
          <w:gridAfter w:val="1"/>
          <w:wAfter w:w="80" w:type="dxa"/>
          <w:trHeight w:val="312"/>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功能分类科目编码</w:t>
            </w:r>
          </w:p>
        </w:tc>
        <w:tc>
          <w:tcPr>
            <w:tcW w:w="2560" w:type="dxa"/>
            <w:gridSpan w:val="4"/>
            <w:vMerge w:val="restart"/>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科目名称</w:t>
            </w:r>
          </w:p>
        </w:tc>
        <w:tc>
          <w:tcPr>
            <w:tcW w:w="5691" w:type="dxa"/>
            <w:gridSpan w:val="14"/>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849" w:type="dxa"/>
            <w:gridSpan w:val="6"/>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380" w:type="dxa"/>
            <w:gridSpan w:val="8"/>
            <w:vMerge/>
            <w:tcBorders>
              <w:top w:val="single" w:sz="8" w:space="0" w:color="auto"/>
              <w:left w:val="single" w:sz="4" w:space="0" w:color="auto"/>
              <w:bottom w:val="single" w:sz="4" w:space="0" w:color="auto"/>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12"/>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2560" w:type="dxa"/>
            <w:gridSpan w:val="4"/>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5691" w:type="dxa"/>
            <w:gridSpan w:val="14"/>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849" w:type="dxa"/>
            <w:gridSpan w:val="6"/>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380" w:type="dxa"/>
            <w:gridSpan w:val="8"/>
            <w:vMerge/>
            <w:tcBorders>
              <w:top w:val="single" w:sz="8" w:space="0" w:color="auto"/>
              <w:left w:val="single" w:sz="4" w:space="0" w:color="auto"/>
              <w:bottom w:val="single" w:sz="4" w:space="0" w:color="auto"/>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12"/>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2560" w:type="dxa"/>
            <w:gridSpan w:val="4"/>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5691" w:type="dxa"/>
            <w:gridSpan w:val="14"/>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849" w:type="dxa"/>
            <w:gridSpan w:val="6"/>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380" w:type="dxa"/>
            <w:gridSpan w:val="8"/>
            <w:vMerge/>
            <w:tcBorders>
              <w:top w:val="single" w:sz="8" w:space="0" w:color="auto"/>
              <w:left w:val="single" w:sz="4" w:space="0" w:color="auto"/>
              <w:bottom w:val="single" w:sz="4" w:space="0" w:color="auto"/>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79"/>
        </w:trPr>
        <w:tc>
          <w:tcPr>
            <w:tcW w:w="3680" w:type="dxa"/>
            <w:gridSpan w:val="6"/>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栏次</w:t>
            </w:r>
          </w:p>
        </w:tc>
        <w:tc>
          <w:tcPr>
            <w:tcW w:w="5691" w:type="dxa"/>
            <w:gridSpan w:val="14"/>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1849"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c>
          <w:tcPr>
            <w:tcW w:w="3380" w:type="dxa"/>
            <w:gridSpan w:val="8"/>
            <w:tcBorders>
              <w:top w:val="nil"/>
              <w:left w:val="nil"/>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w:t>
            </w:r>
          </w:p>
        </w:tc>
      </w:tr>
      <w:tr w:rsidR="00B129FF" w:rsidRPr="00085D5E">
        <w:trPr>
          <w:gridAfter w:val="1"/>
          <w:wAfter w:w="80" w:type="dxa"/>
          <w:trHeight w:val="379"/>
        </w:trPr>
        <w:tc>
          <w:tcPr>
            <w:tcW w:w="3680" w:type="dxa"/>
            <w:gridSpan w:val="6"/>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合计</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1,164.75</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837.07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327.68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208</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社会保障和就业支出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303.73</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303.73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行政事业单位离退休</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303.73</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303.73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2080501</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归口管理的行政单位离退休</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276.56</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276.56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2080502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事业单位离退休</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27.17</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27.17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210</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医疗卫生与计划生育支出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16.46</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16.46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医疗保障</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16.46</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16.46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2100501</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行政单位医疗</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14.31</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14.31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2100502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事业单位医疗</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2.14</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2.14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lastRenderedPageBreak/>
              <w:t>212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城乡社区支出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815.53</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487.85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327.68 </w:t>
            </w:r>
          </w:p>
        </w:tc>
      </w:tr>
      <w:tr w:rsidR="00B129FF" w:rsidRPr="00085D5E">
        <w:trPr>
          <w:gridAfter w:val="1"/>
          <w:wAfter w:w="80" w:type="dxa"/>
          <w:trHeight w:val="953"/>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w:t>
            </w:r>
          </w:p>
        </w:tc>
        <w:tc>
          <w:tcPr>
            <w:tcW w:w="2560" w:type="dxa"/>
            <w:gridSpan w:val="4"/>
            <w:tcBorders>
              <w:top w:val="single" w:sz="4" w:space="0" w:color="auto"/>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城乡社区管理事务</w:t>
            </w:r>
          </w:p>
        </w:tc>
        <w:tc>
          <w:tcPr>
            <w:tcW w:w="5691" w:type="dxa"/>
            <w:gridSpan w:val="14"/>
            <w:tcBorders>
              <w:top w:val="single" w:sz="4" w:space="0" w:color="auto"/>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487.85</w:t>
            </w:r>
          </w:p>
        </w:tc>
        <w:tc>
          <w:tcPr>
            <w:tcW w:w="1849" w:type="dxa"/>
            <w:gridSpan w:val="6"/>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487.85 </w:t>
            </w:r>
          </w:p>
        </w:tc>
        <w:tc>
          <w:tcPr>
            <w:tcW w:w="3380" w:type="dxa"/>
            <w:gridSpan w:val="8"/>
            <w:tcBorders>
              <w:top w:val="single" w:sz="4" w:space="0" w:color="auto"/>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2120101</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行政运行</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289.89</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289.89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2120102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一般行政管理事务</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3.75</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3.75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2120199</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其他城乡社区管理事务支出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194.21</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194.21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城乡社区规划与管理</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327.68</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327.68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2120201</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城乡社区规划与管理</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327.68</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327.68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221</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住房保障支出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29.04</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29.04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22102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住房改革支出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29.04</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29.04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8"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2210201</w:t>
            </w:r>
          </w:p>
        </w:tc>
        <w:tc>
          <w:tcPr>
            <w:tcW w:w="2560" w:type="dxa"/>
            <w:gridSpan w:val="4"/>
            <w:tcBorders>
              <w:top w:val="nil"/>
              <w:left w:val="nil"/>
              <w:bottom w:val="single" w:sz="8"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住房公积金</w:t>
            </w:r>
          </w:p>
        </w:tc>
        <w:tc>
          <w:tcPr>
            <w:tcW w:w="5691" w:type="dxa"/>
            <w:gridSpan w:val="14"/>
            <w:tcBorders>
              <w:top w:val="nil"/>
              <w:left w:val="nil"/>
              <w:bottom w:val="single" w:sz="8"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29.04</w:t>
            </w:r>
          </w:p>
        </w:tc>
        <w:tc>
          <w:tcPr>
            <w:tcW w:w="1849" w:type="dxa"/>
            <w:gridSpan w:val="6"/>
            <w:tcBorders>
              <w:top w:val="nil"/>
              <w:left w:val="nil"/>
              <w:bottom w:val="single" w:sz="8"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29.04 </w:t>
            </w:r>
          </w:p>
        </w:tc>
        <w:tc>
          <w:tcPr>
            <w:tcW w:w="3380" w:type="dxa"/>
            <w:gridSpan w:val="8"/>
            <w:tcBorders>
              <w:top w:val="nil"/>
              <w:left w:val="nil"/>
              <w:bottom w:val="single" w:sz="8"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645"/>
        </w:trPr>
        <w:tc>
          <w:tcPr>
            <w:tcW w:w="14600" w:type="dxa"/>
            <w:gridSpan w:val="34"/>
            <w:tcBorders>
              <w:top w:val="nil"/>
              <w:left w:val="nil"/>
              <w:bottom w:val="nil"/>
              <w:right w:val="nil"/>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注：本表反映部门本年度一般公共预算财政拨款实际支出情况。</w:t>
            </w:r>
          </w:p>
        </w:tc>
      </w:tr>
      <w:tr w:rsidR="00B129FF" w:rsidRPr="00085D5E">
        <w:trPr>
          <w:gridAfter w:val="1"/>
          <w:wAfter w:w="80" w:type="dxa"/>
          <w:trHeight w:val="645"/>
        </w:trPr>
        <w:tc>
          <w:tcPr>
            <w:tcW w:w="14600" w:type="dxa"/>
            <w:gridSpan w:val="34"/>
            <w:tcBorders>
              <w:top w:val="nil"/>
              <w:left w:val="nil"/>
              <w:bottom w:val="nil"/>
              <w:right w:val="nil"/>
            </w:tcBorders>
            <w:vAlign w:val="center"/>
          </w:tcPr>
          <w:p w:rsidR="00B129FF" w:rsidRDefault="00B129FF" w:rsidP="008B65FF">
            <w:pPr>
              <w:widowControl/>
              <w:jc w:val="left"/>
              <w:rPr>
                <w:rFonts w:ascii="宋体" w:cs="Times New Roman"/>
                <w:kern w:val="0"/>
                <w:sz w:val="24"/>
                <w:szCs w:val="24"/>
              </w:rPr>
            </w:pPr>
            <w:r>
              <w:rPr>
                <w:rFonts w:ascii="宋体" w:hAnsi="宋体" w:cs="宋体"/>
                <w:kern w:val="0"/>
                <w:sz w:val="24"/>
                <w:szCs w:val="24"/>
              </w:rPr>
              <w:t xml:space="preserve"> </w:t>
            </w: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Pr="00F0487A" w:rsidRDefault="00B129FF" w:rsidP="00572479">
            <w:pPr>
              <w:ind w:firstLineChars="1550" w:firstLine="4960"/>
              <w:jc w:val="left"/>
              <w:rPr>
                <w:rFonts w:ascii="华文中宋" w:eastAsia="华文中宋" w:hAnsi="华文中宋" w:cs="Times New Roman"/>
                <w:sz w:val="32"/>
                <w:szCs w:val="32"/>
              </w:rPr>
            </w:pPr>
            <w:r w:rsidRPr="00085D5E">
              <w:rPr>
                <w:rFonts w:ascii="华文中宋" w:eastAsia="华文中宋" w:hAnsi="华文中宋" w:cs="华文中宋" w:hint="eastAsia"/>
                <w:sz w:val="32"/>
                <w:szCs w:val="32"/>
              </w:rPr>
              <w:t>一般公共预算财政拨款基本支出决算表</w:t>
            </w:r>
          </w:p>
        </w:tc>
      </w:tr>
      <w:tr w:rsidR="00B129FF" w:rsidRPr="00085D5E">
        <w:trPr>
          <w:gridAfter w:val="1"/>
          <w:wAfter w:w="80" w:type="dxa"/>
          <w:trHeight w:val="222"/>
        </w:trPr>
        <w:tc>
          <w:tcPr>
            <w:tcW w:w="1200" w:type="dxa"/>
            <w:gridSpan w:val="3"/>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lastRenderedPageBreak/>
              <w:t xml:space="preserve">　</w:t>
            </w:r>
          </w:p>
        </w:tc>
        <w:tc>
          <w:tcPr>
            <w:tcW w:w="2840" w:type="dxa"/>
            <w:gridSpan w:val="5"/>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3920" w:type="dxa"/>
            <w:gridSpan w:val="9"/>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520" w:type="dxa"/>
            <w:gridSpan w:val="12"/>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120" w:type="dxa"/>
            <w:gridSpan w:val="5"/>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06</w:t>
            </w:r>
            <w:r w:rsidRPr="008B65FF">
              <w:rPr>
                <w:rFonts w:ascii="宋体" w:hAnsi="宋体" w:cs="宋体" w:hint="eastAsia"/>
                <w:color w:val="000000"/>
                <w:kern w:val="0"/>
                <w:sz w:val="20"/>
                <w:szCs w:val="20"/>
              </w:rPr>
              <w:t>表</w:t>
            </w:r>
          </w:p>
        </w:tc>
      </w:tr>
      <w:tr w:rsidR="00B129FF" w:rsidRPr="00085D5E">
        <w:trPr>
          <w:gridAfter w:val="1"/>
          <w:wAfter w:w="80" w:type="dxa"/>
          <w:trHeight w:val="300"/>
        </w:trPr>
        <w:tc>
          <w:tcPr>
            <w:tcW w:w="4040" w:type="dxa"/>
            <w:gridSpan w:val="8"/>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3920" w:type="dxa"/>
            <w:gridSpan w:val="9"/>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520" w:type="dxa"/>
            <w:gridSpan w:val="12"/>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120" w:type="dxa"/>
            <w:gridSpan w:val="5"/>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gridAfter w:val="1"/>
          <w:wAfter w:w="80" w:type="dxa"/>
          <w:trHeight w:val="379"/>
        </w:trPr>
        <w:tc>
          <w:tcPr>
            <w:tcW w:w="4040" w:type="dxa"/>
            <w:gridSpan w:val="8"/>
            <w:tcBorders>
              <w:top w:val="single" w:sz="8"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color w:val="000000"/>
                <w:kern w:val="0"/>
                <w:sz w:val="24"/>
                <w:szCs w:val="24"/>
              </w:rPr>
              <w:t xml:space="preserve">   </w:t>
            </w:r>
            <w:r w:rsidRPr="008B65FF">
              <w:rPr>
                <w:rFonts w:ascii="宋体" w:hAnsi="宋体" w:cs="宋体" w:hint="eastAsia"/>
                <w:kern w:val="0"/>
                <w:sz w:val="24"/>
                <w:szCs w:val="24"/>
              </w:rPr>
              <w:t>目</w:t>
            </w:r>
          </w:p>
        </w:tc>
        <w:tc>
          <w:tcPr>
            <w:tcW w:w="3920" w:type="dxa"/>
            <w:gridSpan w:val="9"/>
            <w:vMerge w:val="restart"/>
            <w:tcBorders>
              <w:top w:val="nil"/>
              <w:left w:val="single" w:sz="4" w:space="0" w:color="auto"/>
              <w:bottom w:val="single" w:sz="4" w:space="0" w:color="000000"/>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本年支出合计</w:t>
            </w:r>
          </w:p>
        </w:tc>
        <w:tc>
          <w:tcPr>
            <w:tcW w:w="3520" w:type="dxa"/>
            <w:gridSpan w:val="12"/>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人员经费</w:t>
            </w:r>
          </w:p>
        </w:tc>
        <w:tc>
          <w:tcPr>
            <w:tcW w:w="3120" w:type="dxa"/>
            <w:gridSpan w:val="5"/>
            <w:vMerge w:val="restart"/>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公用经费</w:t>
            </w:r>
          </w:p>
        </w:tc>
      </w:tr>
      <w:tr w:rsidR="00B129FF" w:rsidRPr="00085D5E">
        <w:trPr>
          <w:gridAfter w:val="1"/>
          <w:wAfter w:w="80" w:type="dxa"/>
          <w:trHeight w:val="379"/>
        </w:trPr>
        <w:tc>
          <w:tcPr>
            <w:tcW w:w="1200" w:type="dxa"/>
            <w:gridSpan w:val="3"/>
            <w:vMerge w:val="restart"/>
            <w:tcBorders>
              <w:top w:val="nil"/>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经济分类科目编码</w:t>
            </w:r>
          </w:p>
        </w:tc>
        <w:tc>
          <w:tcPr>
            <w:tcW w:w="2840" w:type="dxa"/>
            <w:gridSpan w:val="5"/>
            <w:vMerge w:val="restart"/>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科目名称</w:t>
            </w:r>
          </w:p>
        </w:tc>
        <w:tc>
          <w:tcPr>
            <w:tcW w:w="3920" w:type="dxa"/>
            <w:gridSpan w:val="9"/>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3520" w:type="dxa"/>
            <w:gridSpan w:val="12"/>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120" w:type="dxa"/>
            <w:gridSpan w:val="5"/>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79"/>
        </w:trPr>
        <w:tc>
          <w:tcPr>
            <w:tcW w:w="1200" w:type="dxa"/>
            <w:gridSpan w:val="3"/>
            <w:vMerge/>
            <w:tcBorders>
              <w:top w:val="nil"/>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2840" w:type="dxa"/>
            <w:gridSpan w:val="5"/>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920" w:type="dxa"/>
            <w:gridSpan w:val="9"/>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3520" w:type="dxa"/>
            <w:gridSpan w:val="12"/>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120" w:type="dxa"/>
            <w:gridSpan w:val="5"/>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79"/>
        </w:trPr>
        <w:tc>
          <w:tcPr>
            <w:tcW w:w="1200" w:type="dxa"/>
            <w:gridSpan w:val="3"/>
            <w:vMerge/>
            <w:tcBorders>
              <w:top w:val="nil"/>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2840" w:type="dxa"/>
            <w:gridSpan w:val="5"/>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920" w:type="dxa"/>
            <w:gridSpan w:val="9"/>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3520" w:type="dxa"/>
            <w:gridSpan w:val="12"/>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120" w:type="dxa"/>
            <w:gridSpan w:val="5"/>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79"/>
        </w:trPr>
        <w:tc>
          <w:tcPr>
            <w:tcW w:w="4040" w:type="dxa"/>
            <w:gridSpan w:val="8"/>
            <w:tcBorders>
              <w:top w:val="single" w:sz="4" w:space="0" w:color="auto"/>
              <w:left w:val="single" w:sz="8" w:space="0" w:color="auto"/>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栏次</w:t>
            </w:r>
          </w:p>
        </w:tc>
        <w:tc>
          <w:tcPr>
            <w:tcW w:w="3920" w:type="dxa"/>
            <w:gridSpan w:val="9"/>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3520" w:type="dxa"/>
            <w:gridSpan w:val="12"/>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c>
          <w:tcPr>
            <w:tcW w:w="3120" w:type="dxa"/>
            <w:gridSpan w:val="5"/>
            <w:tcBorders>
              <w:top w:val="nil"/>
              <w:left w:val="nil"/>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w:t>
            </w:r>
          </w:p>
        </w:tc>
      </w:tr>
      <w:tr w:rsidR="00B129FF" w:rsidRPr="00085D5E">
        <w:trPr>
          <w:gridAfter w:val="1"/>
          <w:wAfter w:w="80" w:type="dxa"/>
          <w:trHeight w:val="379"/>
        </w:trPr>
        <w:tc>
          <w:tcPr>
            <w:tcW w:w="4040" w:type="dxa"/>
            <w:gridSpan w:val="8"/>
            <w:tcBorders>
              <w:top w:val="single" w:sz="4" w:space="0" w:color="auto"/>
              <w:left w:val="single" w:sz="8" w:space="0" w:color="auto"/>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合计</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837.07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743.47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93.60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301</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工资福利支出</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404.10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404.10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30101</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基本工资</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95.49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95.49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30102</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津贴补贴</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271.61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271.61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30103</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奖金</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20.54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20.54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30104</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社会保障缴费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16.46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16.46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商品和服务支出</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93.60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93.60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30201</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办公费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20.92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20.92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30205</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水费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3.26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3.26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30206</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电费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11.75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11.75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30207</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邮电费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12.10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w:t>
            </w:r>
            <w:r w:rsidRPr="008B65FF">
              <w:rPr>
                <w:rFonts w:ascii="宋体" w:hAnsi="宋体" w:cs="宋体"/>
                <w:kern w:val="0"/>
                <w:sz w:val="22"/>
                <w:szCs w:val="22"/>
              </w:rPr>
              <w:lastRenderedPageBreak/>
              <w:t xml:space="preserve">12.10 </w:t>
            </w:r>
          </w:p>
        </w:tc>
      </w:tr>
      <w:tr w:rsidR="00B129FF" w:rsidRPr="00085D5E">
        <w:trPr>
          <w:gridAfter w:val="1"/>
          <w:wAfter w:w="80" w:type="dxa"/>
          <w:trHeight w:val="379"/>
        </w:trPr>
        <w:tc>
          <w:tcPr>
            <w:tcW w:w="1200" w:type="dxa"/>
            <w:gridSpan w:val="3"/>
            <w:tcBorders>
              <w:top w:val="single" w:sz="4" w:space="0" w:color="auto"/>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lastRenderedPageBreak/>
              <w:t>30211</w:t>
            </w:r>
          </w:p>
        </w:tc>
        <w:tc>
          <w:tcPr>
            <w:tcW w:w="2840" w:type="dxa"/>
            <w:gridSpan w:val="5"/>
            <w:tcBorders>
              <w:top w:val="single" w:sz="4" w:space="0" w:color="auto"/>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差旅费</w:t>
            </w:r>
          </w:p>
        </w:tc>
        <w:tc>
          <w:tcPr>
            <w:tcW w:w="3920" w:type="dxa"/>
            <w:gridSpan w:val="9"/>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13.44 </w:t>
            </w:r>
          </w:p>
        </w:tc>
        <w:tc>
          <w:tcPr>
            <w:tcW w:w="3520" w:type="dxa"/>
            <w:gridSpan w:val="12"/>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single" w:sz="4" w:space="0" w:color="auto"/>
              <w:left w:val="nil"/>
              <w:bottom w:val="single" w:sz="4" w:space="0" w:color="auto"/>
              <w:right w:val="single" w:sz="8" w:space="0" w:color="auto"/>
            </w:tcBorders>
            <w:noWrap/>
            <w:vAlign w:val="center"/>
          </w:tcPr>
          <w:p w:rsidR="00B129FF" w:rsidRPr="008B65FF" w:rsidRDefault="00B129FF" w:rsidP="00642765">
            <w:pPr>
              <w:widowControl/>
              <w:jc w:val="right"/>
              <w:rPr>
                <w:rFonts w:ascii="宋体" w:cs="Times New Roman"/>
                <w:kern w:val="0"/>
                <w:sz w:val="22"/>
              </w:rPr>
            </w:pPr>
            <w:r w:rsidRPr="008B65FF">
              <w:rPr>
                <w:rFonts w:ascii="宋体" w:hAnsi="宋体" w:cs="宋体"/>
                <w:kern w:val="0"/>
                <w:sz w:val="22"/>
                <w:szCs w:val="22"/>
              </w:rPr>
              <w:t xml:space="preserve">13.44                        </w:t>
            </w:r>
          </w:p>
        </w:tc>
      </w:tr>
      <w:tr w:rsidR="00B129FF" w:rsidRPr="00085D5E">
        <w:trPr>
          <w:gridAfter w:val="1"/>
          <w:wAfter w:w="80" w:type="dxa"/>
          <w:trHeight w:val="379"/>
        </w:trPr>
        <w:tc>
          <w:tcPr>
            <w:tcW w:w="1200" w:type="dxa"/>
            <w:gridSpan w:val="3"/>
            <w:tcBorders>
              <w:top w:val="single" w:sz="4" w:space="0" w:color="auto"/>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30213</w:t>
            </w:r>
          </w:p>
        </w:tc>
        <w:tc>
          <w:tcPr>
            <w:tcW w:w="2840" w:type="dxa"/>
            <w:gridSpan w:val="5"/>
            <w:tcBorders>
              <w:top w:val="single" w:sz="4" w:space="0" w:color="auto"/>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维修</w:t>
            </w:r>
            <w:r w:rsidRPr="008B65FF">
              <w:rPr>
                <w:rFonts w:ascii="宋体" w:hAnsi="宋体" w:cs="宋体"/>
                <w:kern w:val="0"/>
                <w:sz w:val="20"/>
                <w:szCs w:val="20"/>
              </w:rPr>
              <w:t>(</w:t>
            </w:r>
            <w:r w:rsidRPr="008B65FF">
              <w:rPr>
                <w:rFonts w:ascii="宋体" w:hAnsi="宋体" w:cs="宋体" w:hint="eastAsia"/>
                <w:kern w:val="0"/>
                <w:sz w:val="20"/>
                <w:szCs w:val="20"/>
              </w:rPr>
              <w:t>护</w:t>
            </w:r>
            <w:r w:rsidRPr="008B65FF">
              <w:rPr>
                <w:rFonts w:ascii="宋体" w:hAnsi="宋体" w:cs="宋体"/>
                <w:kern w:val="0"/>
                <w:sz w:val="20"/>
                <w:szCs w:val="20"/>
              </w:rPr>
              <w:t>)</w:t>
            </w:r>
            <w:r w:rsidRPr="008B65FF">
              <w:rPr>
                <w:rFonts w:ascii="宋体" w:hAnsi="宋体" w:cs="宋体" w:hint="eastAsia"/>
                <w:kern w:val="0"/>
                <w:sz w:val="20"/>
                <w:szCs w:val="20"/>
              </w:rPr>
              <w:t>费</w:t>
            </w:r>
          </w:p>
        </w:tc>
        <w:tc>
          <w:tcPr>
            <w:tcW w:w="3920" w:type="dxa"/>
            <w:gridSpan w:val="9"/>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4.54 </w:t>
            </w:r>
          </w:p>
        </w:tc>
        <w:tc>
          <w:tcPr>
            <w:tcW w:w="3520" w:type="dxa"/>
            <w:gridSpan w:val="12"/>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single" w:sz="4" w:space="0" w:color="auto"/>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4.54 </w:t>
            </w:r>
          </w:p>
        </w:tc>
      </w:tr>
      <w:tr w:rsidR="00B129FF" w:rsidRPr="00085D5E">
        <w:trPr>
          <w:gridAfter w:val="1"/>
          <w:wAfter w:w="80" w:type="dxa"/>
          <w:trHeight w:val="379"/>
        </w:trPr>
        <w:tc>
          <w:tcPr>
            <w:tcW w:w="1200" w:type="dxa"/>
            <w:gridSpan w:val="3"/>
            <w:tcBorders>
              <w:top w:val="single" w:sz="4" w:space="0" w:color="auto"/>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30215</w:t>
            </w:r>
          </w:p>
        </w:tc>
        <w:tc>
          <w:tcPr>
            <w:tcW w:w="2840" w:type="dxa"/>
            <w:gridSpan w:val="5"/>
            <w:tcBorders>
              <w:top w:val="single" w:sz="4" w:space="0" w:color="auto"/>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会议费</w:t>
            </w:r>
          </w:p>
        </w:tc>
        <w:tc>
          <w:tcPr>
            <w:tcW w:w="3920" w:type="dxa"/>
            <w:gridSpan w:val="9"/>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0.16 </w:t>
            </w:r>
          </w:p>
        </w:tc>
        <w:tc>
          <w:tcPr>
            <w:tcW w:w="3520" w:type="dxa"/>
            <w:gridSpan w:val="12"/>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single" w:sz="4" w:space="0" w:color="auto"/>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0.16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30216</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培训费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3.32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3.32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30217</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公务接待费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2.81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2.81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30226</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劳务费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6.44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6.44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30231</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公务用车运行维护费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10.50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10.50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30239</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其他交通费用</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4.02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4.02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30299</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其他商品和服务支出</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0.34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0.34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303</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对个人和家庭的补助</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339.38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339.38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30302</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退休费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303.39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303.39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30305</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b/>
                <w:bCs/>
                <w:kern w:val="0"/>
                <w:sz w:val="20"/>
                <w:szCs w:val="20"/>
              </w:rPr>
              <w:t xml:space="preserve">  </w:t>
            </w:r>
            <w:r w:rsidRPr="008B65FF">
              <w:rPr>
                <w:rFonts w:ascii="宋体" w:hAnsi="宋体" w:cs="宋体" w:hint="eastAsia"/>
                <w:b/>
                <w:bCs/>
                <w:kern w:val="0"/>
                <w:sz w:val="20"/>
                <w:szCs w:val="20"/>
              </w:rPr>
              <w:t>生活补助</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0.55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0.55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30307</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医疗费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2.65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2.65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30311</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住房公积金</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29.04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29.04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8"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rPr>
            </w:pPr>
            <w:r w:rsidRPr="008B65FF">
              <w:rPr>
                <w:rFonts w:ascii="宋体" w:hAnsi="宋体" w:cs="宋体"/>
                <w:color w:val="000000"/>
                <w:kern w:val="0"/>
                <w:sz w:val="22"/>
                <w:szCs w:val="22"/>
              </w:rPr>
              <w:t>30399</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其他对个人和家庭的补助支出</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3.75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kern w:val="0"/>
                <w:sz w:val="22"/>
                <w:szCs w:val="22"/>
              </w:rPr>
              <w:t xml:space="preserve">                       3.75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rPr>
            </w:pPr>
            <w:r w:rsidRPr="008B65FF">
              <w:rPr>
                <w:rFonts w:ascii="宋体" w:hAnsi="宋体" w:cs="宋体" w:hint="eastAsia"/>
                <w:kern w:val="0"/>
                <w:sz w:val="22"/>
                <w:szCs w:val="22"/>
              </w:rPr>
              <w:t xml:space="preserve">　</w:t>
            </w:r>
          </w:p>
        </w:tc>
      </w:tr>
      <w:tr w:rsidR="00B129FF" w:rsidRPr="00085D5E">
        <w:trPr>
          <w:gridAfter w:val="1"/>
          <w:wAfter w:w="80" w:type="dxa"/>
          <w:trHeight w:val="376"/>
        </w:trPr>
        <w:tc>
          <w:tcPr>
            <w:tcW w:w="14600" w:type="dxa"/>
            <w:gridSpan w:val="34"/>
            <w:tcBorders>
              <w:top w:val="single" w:sz="8" w:space="0" w:color="auto"/>
              <w:left w:val="nil"/>
              <w:right w:val="nil"/>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注：本表反映部门本年度一般公共预算财政拨款基本支出明细情况。</w:t>
            </w:r>
          </w:p>
        </w:tc>
      </w:tr>
      <w:tr w:rsidR="00B129FF" w:rsidRPr="00085D5E">
        <w:trPr>
          <w:gridAfter w:val="1"/>
          <w:wAfter w:w="80" w:type="dxa"/>
          <w:trHeight w:val="645"/>
        </w:trPr>
        <w:tc>
          <w:tcPr>
            <w:tcW w:w="14600" w:type="dxa"/>
            <w:gridSpan w:val="34"/>
            <w:tcBorders>
              <w:left w:val="nil"/>
              <w:bottom w:val="nil"/>
              <w:right w:val="nil"/>
            </w:tcBorders>
            <w:vAlign w:val="center"/>
          </w:tcPr>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r>
              <w:rPr>
                <w:rFonts w:ascii="宋体" w:hAnsi="宋体" w:cs="宋体"/>
                <w:kern w:val="0"/>
                <w:sz w:val="24"/>
                <w:szCs w:val="24"/>
              </w:rPr>
              <w:t xml:space="preserve"> </w:t>
            </w:r>
          </w:p>
          <w:p w:rsidR="00B129FF" w:rsidRPr="00F0487A" w:rsidRDefault="00B129FF" w:rsidP="00572479">
            <w:pPr>
              <w:ind w:firstLineChars="1200" w:firstLine="3840"/>
              <w:jc w:val="left"/>
              <w:rPr>
                <w:rFonts w:ascii="华文中宋" w:eastAsia="华文中宋" w:hAnsi="华文中宋" w:cs="Times New Roman"/>
                <w:sz w:val="32"/>
                <w:szCs w:val="32"/>
              </w:rPr>
            </w:pPr>
            <w:r w:rsidRPr="00085D5E">
              <w:rPr>
                <w:rFonts w:ascii="华文中宋" w:eastAsia="华文中宋" w:hAnsi="华文中宋" w:cs="华文中宋" w:hint="eastAsia"/>
                <w:sz w:val="32"/>
                <w:szCs w:val="32"/>
              </w:rPr>
              <w:t>一般公共预算财政拨款“三公”经费支出决算表</w:t>
            </w:r>
          </w:p>
        </w:tc>
      </w:tr>
      <w:tr w:rsidR="00B129FF" w:rsidRPr="00085D5E">
        <w:trPr>
          <w:gridAfter w:val="1"/>
          <w:wAfter w:w="80" w:type="dxa"/>
          <w:trHeight w:val="222"/>
        </w:trPr>
        <w:tc>
          <w:tcPr>
            <w:tcW w:w="1830" w:type="dxa"/>
            <w:gridSpan w:val="4"/>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lastRenderedPageBreak/>
              <w:t xml:space="preserve">　</w:t>
            </w:r>
          </w:p>
        </w:tc>
        <w:tc>
          <w:tcPr>
            <w:tcW w:w="1178" w:type="dxa"/>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4"/>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2"/>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2"/>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70"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086"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996"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996" w:type="dxa"/>
            <w:gridSpan w:val="5"/>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069" w:type="dxa"/>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99"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07</w:t>
            </w:r>
            <w:r w:rsidRPr="008B65FF">
              <w:rPr>
                <w:rFonts w:ascii="宋体" w:hAnsi="宋体" w:cs="宋体" w:hint="eastAsia"/>
                <w:color w:val="000000"/>
                <w:kern w:val="0"/>
                <w:sz w:val="20"/>
                <w:szCs w:val="20"/>
              </w:rPr>
              <w:t>表</w:t>
            </w:r>
          </w:p>
        </w:tc>
      </w:tr>
      <w:tr w:rsidR="00B129FF" w:rsidRPr="00085D5E">
        <w:trPr>
          <w:gridAfter w:val="1"/>
          <w:wAfter w:w="80" w:type="dxa"/>
          <w:trHeight w:val="300"/>
        </w:trPr>
        <w:tc>
          <w:tcPr>
            <w:tcW w:w="1830" w:type="dxa"/>
            <w:gridSpan w:val="4"/>
            <w:tcBorders>
              <w:top w:val="nil"/>
              <w:left w:val="nil"/>
              <w:bottom w:val="nil"/>
              <w:right w:val="nil"/>
            </w:tcBorders>
            <w:shd w:val="clear" w:color="000000" w:fill="FFFFFF"/>
            <w:noWrap/>
            <w:vAlign w:val="center"/>
          </w:tcPr>
          <w:p w:rsidR="00B129FF" w:rsidRPr="008B65FF" w:rsidRDefault="00B129FF" w:rsidP="00572479">
            <w:pPr>
              <w:widowControl/>
              <w:ind w:rightChars="-64" w:right="-134"/>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1178" w:type="dxa"/>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4"/>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2"/>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2"/>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70"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086"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996"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996" w:type="dxa"/>
            <w:gridSpan w:val="5"/>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069" w:type="dxa"/>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99"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gridAfter w:val="1"/>
          <w:wAfter w:w="80" w:type="dxa"/>
          <w:trHeight w:val="559"/>
        </w:trPr>
        <w:tc>
          <w:tcPr>
            <w:tcW w:w="7584" w:type="dxa"/>
            <w:gridSpan w:val="16"/>
            <w:tcBorders>
              <w:top w:val="single" w:sz="8" w:space="0" w:color="auto"/>
              <w:left w:val="single" w:sz="8" w:space="0" w:color="auto"/>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2015</w:t>
            </w:r>
            <w:r w:rsidRPr="008B65FF">
              <w:rPr>
                <w:rFonts w:ascii="宋体" w:hAnsi="宋体" w:cs="宋体" w:hint="eastAsia"/>
                <w:kern w:val="0"/>
                <w:sz w:val="22"/>
                <w:szCs w:val="22"/>
              </w:rPr>
              <w:t>年度预算数</w:t>
            </w:r>
          </w:p>
        </w:tc>
        <w:tc>
          <w:tcPr>
            <w:tcW w:w="7016" w:type="dxa"/>
            <w:gridSpan w:val="18"/>
            <w:tcBorders>
              <w:top w:val="single" w:sz="8" w:space="0" w:color="auto"/>
              <w:left w:val="nil"/>
              <w:bottom w:val="single" w:sz="4" w:space="0" w:color="auto"/>
              <w:right w:val="single" w:sz="8" w:space="0" w:color="000000"/>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kern w:val="0"/>
                <w:sz w:val="22"/>
                <w:szCs w:val="22"/>
              </w:rPr>
              <w:t>2015</w:t>
            </w:r>
            <w:r w:rsidRPr="008B65FF">
              <w:rPr>
                <w:rFonts w:ascii="宋体" w:hAnsi="宋体" w:cs="宋体" w:hint="eastAsia"/>
                <w:kern w:val="0"/>
                <w:sz w:val="22"/>
                <w:szCs w:val="22"/>
              </w:rPr>
              <w:t>年度决算数</w:t>
            </w:r>
          </w:p>
        </w:tc>
      </w:tr>
      <w:tr w:rsidR="00B129FF" w:rsidRPr="00085D5E">
        <w:trPr>
          <w:gridAfter w:val="1"/>
          <w:wAfter w:w="80" w:type="dxa"/>
          <w:trHeight w:val="600"/>
        </w:trPr>
        <w:tc>
          <w:tcPr>
            <w:tcW w:w="1830" w:type="dxa"/>
            <w:gridSpan w:val="4"/>
            <w:vMerge w:val="restart"/>
            <w:tcBorders>
              <w:top w:val="nil"/>
              <w:left w:val="single" w:sz="8"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合计</w:t>
            </w:r>
          </w:p>
        </w:tc>
        <w:tc>
          <w:tcPr>
            <w:tcW w:w="1178" w:type="dxa"/>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因公出国（境）费</w:t>
            </w:r>
          </w:p>
        </w:tc>
        <w:tc>
          <w:tcPr>
            <w:tcW w:w="3432" w:type="dxa"/>
            <w:gridSpan w:val="9"/>
            <w:tcBorders>
              <w:top w:val="single" w:sz="4" w:space="0" w:color="auto"/>
              <w:left w:val="nil"/>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公务用车购置及运行费</w:t>
            </w:r>
          </w:p>
        </w:tc>
        <w:tc>
          <w:tcPr>
            <w:tcW w:w="1144" w:type="dxa"/>
            <w:gridSpan w:val="2"/>
            <w:vMerge w:val="restart"/>
            <w:tcBorders>
              <w:top w:val="nil"/>
              <w:left w:val="single" w:sz="4" w:space="0" w:color="auto"/>
              <w:bottom w:val="single" w:sz="4" w:space="0" w:color="auto"/>
              <w:right w:val="single" w:sz="4" w:space="0" w:color="auto"/>
            </w:tcBorders>
            <w:vAlign w:val="center"/>
          </w:tcPr>
          <w:p w:rsidR="00B129FF" w:rsidRPr="000932E8" w:rsidRDefault="00B129FF" w:rsidP="008B65FF">
            <w:pPr>
              <w:widowControl/>
              <w:jc w:val="center"/>
              <w:rPr>
                <w:rFonts w:ascii="宋体" w:cs="Times New Roman"/>
                <w:kern w:val="0"/>
                <w:sz w:val="22"/>
              </w:rPr>
            </w:pPr>
            <w:r w:rsidRPr="000932E8">
              <w:rPr>
                <w:rFonts w:ascii="宋体" w:hAnsi="宋体" w:cs="宋体" w:hint="eastAsia"/>
                <w:kern w:val="0"/>
                <w:sz w:val="22"/>
                <w:szCs w:val="22"/>
              </w:rPr>
              <w:t>公务接待费</w:t>
            </w:r>
          </w:p>
        </w:tc>
        <w:tc>
          <w:tcPr>
            <w:tcW w:w="1170" w:type="dxa"/>
            <w:gridSpan w:val="3"/>
            <w:vMerge w:val="restart"/>
            <w:tcBorders>
              <w:top w:val="nil"/>
              <w:left w:val="nil"/>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合计</w:t>
            </w:r>
          </w:p>
        </w:tc>
        <w:tc>
          <w:tcPr>
            <w:tcW w:w="1086" w:type="dxa"/>
            <w:gridSpan w:val="3"/>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因公出国（境）费</w:t>
            </w:r>
          </w:p>
        </w:tc>
        <w:tc>
          <w:tcPr>
            <w:tcW w:w="3061" w:type="dxa"/>
            <w:gridSpan w:val="9"/>
            <w:tcBorders>
              <w:top w:val="single" w:sz="4" w:space="0" w:color="auto"/>
              <w:left w:val="nil"/>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公务用车购置及运行费</w:t>
            </w:r>
          </w:p>
        </w:tc>
        <w:tc>
          <w:tcPr>
            <w:tcW w:w="1699" w:type="dxa"/>
            <w:gridSpan w:val="3"/>
            <w:vMerge w:val="restart"/>
            <w:tcBorders>
              <w:top w:val="nil"/>
              <w:left w:val="single" w:sz="4" w:space="0" w:color="auto"/>
              <w:bottom w:val="single" w:sz="4" w:space="0" w:color="000000"/>
              <w:right w:val="single" w:sz="8"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公务接待费</w:t>
            </w:r>
          </w:p>
        </w:tc>
      </w:tr>
      <w:tr w:rsidR="00B129FF" w:rsidRPr="00085D5E">
        <w:trPr>
          <w:gridAfter w:val="1"/>
          <w:wAfter w:w="80" w:type="dxa"/>
          <w:trHeight w:val="600"/>
        </w:trPr>
        <w:tc>
          <w:tcPr>
            <w:tcW w:w="1830" w:type="dxa"/>
            <w:gridSpan w:val="4"/>
            <w:vMerge/>
            <w:tcBorders>
              <w:top w:val="nil"/>
              <w:left w:val="single" w:sz="8"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2"/>
              </w:rPr>
            </w:pPr>
          </w:p>
        </w:tc>
        <w:tc>
          <w:tcPr>
            <w:tcW w:w="1178" w:type="dxa"/>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2"/>
              </w:rPr>
            </w:pPr>
          </w:p>
        </w:tc>
        <w:tc>
          <w:tcPr>
            <w:tcW w:w="1144"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小计</w:t>
            </w:r>
          </w:p>
        </w:tc>
        <w:tc>
          <w:tcPr>
            <w:tcW w:w="1144" w:type="dxa"/>
            <w:gridSpan w:val="2"/>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公务用车</w:t>
            </w:r>
            <w:r w:rsidRPr="008B65FF">
              <w:rPr>
                <w:rFonts w:ascii="宋体" w:cs="Times New Roman"/>
                <w:kern w:val="0"/>
                <w:sz w:val="22"/>
                <w:szCs w:val="22"/>
              </w:rPr>
              <w:br/>
            </w:r>
            <w:r w:rsidRPr="008B65FF">
              <w:rPr>
                <w:rFonts w:ascii="宋体" w:hAnsi="宋体" w:cs="宋体" w:hint="eastAsia"/>
                <w:kern w:val="0"/>
                <w:sz w:val="22"/>
                <w:szCs w:val="22"/>
              </w:rPr>
              <w:t>购置费</w:t>
            </w:r>
          </w:p>
        </w:tc>
        <w:tc>
          <w:tcPr>
            <w:tcW w:w="1144"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公务用车</w:t>
            </w:r>
            <w:r w:rsidRPr="008B65FF">
              <w:rPr>
                <w:rFonts w:ascii="宋体" w:cs="Times New Roman"/>
                <w:kern w:val="0"/>
                <w:sz w:val="22"/>
                <w:szCs w:val="22"/>
              </w:rPr>
              <w:br/>
            </w:r>
            <w:r w:rsidRPr="008B65FF">
              <w:rPr>
                <w:rFonts w:ascii="宋体" w:hAnsi="宋体" w:cs="宋体" w:hint="eastAsia"/>
                <w:kern w:val="0"/>
                <w:sz w:val="22"/>
                <w:szCs w:val="22"/>
              </w:rPr>
              <w:t>运行费</w:t>
            </w:r>
          </w:p>
        </w:tc>
        <w:tc>
          <w:tcPr>
            <w:tcW w:w="1144" w:type="dxa"/>
            <w:gridSpan w:val="2"/>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2"/>
              </w:rPr>
            </w:pPr>
          </w:p>
        </w:tc>
        <w:tc>
          <w:tcPr>
            <w:tcW w:w="1170" w:type="dxa"/>
            <w:gridSpan w:val="3"/>
            <w:vMerge/>
            <w:tcBorders>
              <w:top w:val="nil"/>
              <w:left w:val="nil"/>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2"/>
              </w:rPr>
            </w:pPr>
          </w:p>
        </w:tc>
        <w:tc>
          <w:tcPr>
            <w:tcW w:w="1086"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2"/>
              </w:rPr>
            </w:pPr>
          </w:p>
        </w:tc>
        <w:tc>
          <w:tcPr>
            <w:tcW w:w="996"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小计</w:t>
            </w:r>
          </w:p>
        </w:tc>
        <w:tc>
          <w:tcPr>
            <w:tcW w:w="996"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公务用车</w:t>
            </w:r>
            <w:r w:rsidRPr="008B65FF">
              <w:rPr>
                <w:rFonts w:ascii="宋体" w:cs="Times New Roman"/>
                <w:kern w:val="0"/>
                <w:sz w:val="22"/>
                <w:szCs w:val="22"/>
              </w:rPr>
              <w:br/>
            </w:r>
            <w:r w:rsidRPr="008B65FF">
              <w:rPr>
                <w:rFonts w:ascii="宋体" w:hAnsi="宋体" w:cs="宋体" w:hint="eastAsia"/>
                <w:kern w:val="0"/>
                <w:sz w:val="22"/>
                <w:szCs w:val="22"/>
              </w:rPr>
              <w:t>购置费</w:t>
            </w:r>
          </w:p>
        </w:tc>
        <w:tc>
          <w:tcPr>
            <w:tcW w:w="1069" w:type="dxa"/>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rPr>
            </w:pPr>
            <w:r w:rsidRPr="008B65FF">
              <w:rPr>
                <w:rFonts w:ascii="宋体" w:hAnsi="宋体" w:cs="宋体" w:hint="eastAsia"/>
                <w:kern w:val="0"/>
                <w:sz w:val="22"/>
                <w:szCs w:val="22"/>
              </w:rPr>
              <w:t>公务用车</w:t>
            </w:r>
            <w:r w:rsidRPr="008B65FF">
              <w:rPr>
                <w:rFonts w:ascii="宋体" w:cs="Times New Roman"/>
                <w:kern w:val="0"/>
                <w:sz w:val="22"/>
                <w:szCs w:val="22"/>
              </w:rPr>
              <w:br/>
            </w:r>
            <w:r w:rsidRPr="008B65FF">
              <w:rPr>
                <w:rFonts w:ascii="宋体" w:hAnsi="宋体" w:cs="宋体" w:hint="eastAsia"/>
                <w:kern w:val="0"/>
                <w:sz w:val="22"/>
                <w:szCs w:val="22"/>
              </w:rPr>
              <w:t>运行费</w:t>
            </w:r>
          </w:p>
        </w:tc>
        <w:tc>
          <w:tcPr>
            <w:tcW w:w="1699" w:type="dxa"/>
            <w:gridSpan w:val="3"/>
            <w:vMerge/>
            <w:tcBorders>
              <w:top w:val="nil"/>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2"/>
              </w:rPr>
            </w:pPr>
          </w:p>
        </w:tc>
      </w:tr>
      <w:tr w:rsidR="00B129FF" w:rsidRPr="00085D5E">
        <w:trPr>
          <w:gridAfter w:val="1"/>
          <w:wAfter w:w="80" w:type="dxa"/>
          <w:trHeight w:val="559"/>
        </w:trPr>
        <w:tc>
          <w:tcPr>
            <w:tcW w:w="1830" w:type="dxa"/>
            <w:gridSpan w:val="4"/>
            <w:tcBorders>
              <w:top w:val="nil"/>
              <w:left w:val="single" w:sz="8" w:space="0" w:color="auto"/>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w:t>
            </w:r>
          </w:p>
        </w:tc>
        <w:tc>
          <w:tcPr>
            <w:tcW w:w="1178" w:type="dxa"/>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2</w:t>
            </w:r>
          </w:p>
        </w:tc>
        <w:tc>
          <w:tcPr>
            <w:tcW w:w="1144" w:type="dxa"/>
            <w:gridSpan w:val="4"/>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3</w:t>
            </w:r>
          </w:p>
        </w:tc>
        <w:tc>
          <w:tcPr>
            <w:tcW w:w="1144" w:type="dxa"/>
            <w:gridSpan w:val="2"/>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4</w:t>
            </w:r>
          </w:p>
        </w:tc>
        <w:tc>
          <w:tcPr>
            <w:tcW w:w="1144" w:type="dxa"/>
            <w:gridSpan w:val="3"/>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5</w:t>
            </w:r>
          </w:p>
        </w:tc>
        <w:tc>
          <w:tcPr>
            <w:tcW w:w="1144" w:type="dxa"/>
            <w:gridSpan w:val="2"/>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6</w:t>
            </w:r>
          </w:p>
        </w:tc>
        <w:tc>
          <w:tcPr>
            <w:tcW w:w="1170" w:type="dxa"/>
            <w:gridSpan w:val="3"/>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7</w:t>
            </w:r>
          </w:p>
        </w:tc>
        <w:tc>
          <w:tcPr>
            <w:tcW w:w="1086" w:type="dxa"/>
            <w:gridSpan w:val="3"/>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8</w:t>
            </w:r>
          </w:p>
        </w:tc>
        <w:tc>
          <w:tcPr>
            <w:tcW w:w="996" w:type="dxa"/>
            <w:gridSpan w:val="3"/>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9</w:t>
            </w:r>
          </w:p>
        </w:tc>
        <w:tc>
          <w:tcPr>
            <w:tcW w:w="996" w:type="dxa"/>
            <w:gridSpan w:val="5"/>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10</w:t>
            </w:r>
          </w:p>
        </w:tc>
        <w:tc>
          <w:tcPr>
            <w:tcW w:w="1069" w:type="dxa"/>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11</w:t>
            </w:r>
          </w:p>
        </w:tc>
        <w:tc>
          <w:tcPr>
            <w:tcW w:w="1699" w:type="dxa"/>
            <w:gridSpan w:val="3"/>
            <w:tcBorders>
              <w:top w:val="nil"/>
              <w:left w:val="nil"/>
              <w:bottom w:val="single" w:sz="4" w:space="0" w:color="auto"/>
              <w:right w:val="single" w:sz="8"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12</w:t>
            </w:r>
          </w:p>
        </w:tc>
      </w:tr>
      <w:tr w:rsidR="00B129FF" w:rsidRPr="00085D5E">
        <w:trPr>
          <w:gridAfter w:val="1"/>
          <w:wAfter w:w="80" w:type="dxa"/>
          <w:trHeight w:val="855"/>
        </w:trPr>
        <w:tc>
          <w:tcPr>
            <w:tcW w:w="1830" w:type="dxa"/>
            <w:gridSpan w:val="4"/>
            <w:tcBorders>
              <w:top w:val="nil"/>
              <w:left w:val="single" w:sz="8" w:space="0" w:color="auto"/>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31</w:t>
            </w:r>
          </w:p>
        </w:tc>
        <w:tc>
          <w:tcPr>
            <w:tcW w:w="1178" w:type="dxa"/>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p>
        </w:tc>
        <w:tc>
          <w:tcPr>
            <w:tcW w:w="1144" w:type="dxa"/>
            <w:gridSpan w:val="4"/>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10</w:t>
            </w:r>
          </w:p>
        </w:tc>
        <w:tc>
          <w:tcPr>
            <w:tcW w:w="1144" w:type="dxa"/>
            <w:gridSpan w:val="2"/>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p>
        </w:tc>
        <w:tc>
          <w:tcPr>
            <w:tcW w:w="1144" w:type="dxa"/>
            <w:gridSpan w:val="3"/>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10</w:t>
            </w:r>
          </w:p>
        </w:tc>
        <w:tc>
          <w:tcPr>
            <w:tcW w:w="1144" w:type="dxa"/>
            <w:gridSpan w:val="2"/>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21</w:t>
            </w:r>
          </w:p>
        </w:tc>
        <w:tc>
          <w:tcPr>
            <w:tcW w:w="1170" w:type="dxa"/>
            <w:gridSpan w:val="3"/>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13.31</w:t>
            </w:r>
          </w:p>
        </w:tc>
        <w:tc>
          <w:tcPr>
            <w:tcW w:w="1086" w:type="dxa"/>
            <w:gridSpan w:val="3"/>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p>
        </w:tc>
        <w:tc>
          <w:tcPr>
            <w:tcW w:w="996" w:type="dxa"/>
            <w:gridSpan w:val="3"/>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p>
        </w:tc>
        <w:tc>
          <w:tcPr>
            <w:tcW w:w="996" w:type="dxa"/>
            <w:gridSpan w:val="5"/>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rPr>
            </w:pPr>
          </w:p>
        </w:tc>
        <w:tc>
          <w:tcPr>
            <w:tcW w:w="1069" w:type="dxa"/>
            <w:tcBorders>
              <w:top w:val="nil"/>
              <w:left w:val="nil"/>
              <w:bottom w:val="single" w:sz="8" w:space="0" w:color="auto"/>
              <w:right w:val="nil"/>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10.5</w:t>
            </w:r>
          </w:p>
        </w:tc>
        <w:tc>
          <w:tcPr>
            <w:tcW w:w="1699" w:type="dxa"/>
            <w:gridSpan w:val="3"/>
            <w:tcBorders>
              <w:top w:val="nil"/>
              <w:left w:val="single" w:sz="4" w:space="0" w:color="auto"/>
              <w:bottom w:val="single" w:sz="8" w:space="0" w:color="auto"/>
              <w:right w:val="single" w:sz="8" w:space="0" w:color="auto"/>
            </w:tcBorders>
            <w:vAlign w:val="center"/>
          </w:tcPr>
          <w:p w:rsidR="00B129FF" w:rsidRPr="008B65FF" w:rsidRDefault="00B129FF" w:rsidP="009A123B">
            <w:pPr>
              <w:widowControl/>
              <w:jc w:val="center"/>
              <w:rPr>
                <w:rFonts w:ascii="宋体" w:cs="Times New Roman"/>
                <w:kern w:val="0"/>
                <w:sz w:val="22"/>
              </w:rPr>
            </w:pPr>
            <w:r w:rsidRPr="008B65FF">
              <w:rPr>
                <w:rFonts w:ascii="宋体" w:hAnsi="宋体" w:cs="宋体"/>
                <w:kern w:val="0"/>
                <w:sz w:val="22"/>
                <w:szCs w:val="22"/>
              </w:rPr>
              <w:t>2.81</w:t>
            </w:r>
          </w:p>
        </w:tc>
      </w:tr>
      <w:tr w:rsidR="00B129FF" w:rsidRPr="00085D5E">
        <w:trPr>
          <w:gridAfter w:val="1"/>
          <w:wAfter w:w="80" w:type="dxa"/>
          <w:trHeight w:val="900"/>
        </w:trPr>
        <w:tc>
          <w:tcPr>
            <w:tcW w:w="14600" w:type="dxa"/>
            <w:gridSpan w:val="34"/>
            <w:tcBorders>
              <w:top w:val="single" w:sz="8" w:space="0" w:color="auto"/>
              <w:left w:val="nil"/>
              <w:right w:val="nil"/>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注：</w:t>
            </w:r>
            <w:r w:rsidRPr="008B65FF">
              <w:rPr>
                <w:rFonts w:ascii="宋体" w:hAnsi="宋体" w:cs="宋体"/>
                <w:kern w:val="0"/>
                <w:sz w:val="24"/>
                <w:szCs w:val="24"/>
              </w:rPr>
              <w:t>2015</w:t>
            </w:r>
            <w:r w:rsidRPr="008B65FF">
              <w:rPr>
                <w:rFonts w:ascii="宋体" w:hAnsi="宋体" w:cs="宋体" w:hint="eastAsia"/>
                <w:kern w:val="0"/>
                <w:sz w:val="24"/>
                <w:szCs w:val="24"/>
              </w:rPr>
              <w:t>年度预算数为“三公”经费年初预算数，决算数是包括当年一般公共预算财政拨款和以前年度结转资金安排的实际支出。</w:t>
            </w:r>
          </w:p>
        </w:tc>
      </w:tr>
      <w:tr w:rsidR="00B129FF" w:rsidRPr="00085D5E">
        <w:trPr>
          <w:gridAfter w:val="1"/>
          <w:wAfter w:w="80" w:type="dxa"/>
          <w:trHeight w:val="900"/>
        </w:trPr>
        <w:tc>
          <w:tcPr>
            <w:tcW w:w="14600" w:type="dxa"/>
            <w:gridSpan w:val="34"/>
            <w:tcBorders>
              <w:left w:val="nil"/>
              <w:bottom w:val="nil"/>
              <w:right w:val="nil"/>
            </w:tcBorders>
            <w:vAlign w:val="center"/>
          </w:tcPr>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Pr="009A123B" w:rsidRDefault="00B129FF" w:rsidP="00572479">
            <w:pPr>
              <w:ind w:firstLineChars="1450" w:firstLine="4640"/>
              <w:jc w:val="left"/>
              <w:rPr>
                <w:rFonts w:ascii="华文中宋" w:eastAsia="华文中宋" w:hAnsi="华文中宋" w:cs="Times New Roman"/>
                <w:sz w:val="32"/>
                <w:szCs w:val="32"/>
              </w:rPr>
            </w:pPr>
            <w:r w:rsidRPr="00085D5E">
              <w:rPr>
                <w:rFonts w:ascii="华文中宋" w:eastAsia="华文中宋" w:hAnsi="华文中宋" w:cs="华文中宋" w:hint="eastAsia"/>
                <w:sz w:val="32"/>
                <w:szCs w:val="32"/>
              </w:rPr>
              <w:t>政府性基金预算财政拨款收入支出决算表</w:t>
            </w:r>
          </w:p>
        </w:tc>
      </w:tr>
      <w:tr w:rsidR="00B129FF" w:rsidRPr="00085D5E">
        <w:trPr>
          <w:trHeight w:val="222"/>
        </w:trPr>
        <w:tc>
          <w:tcPr>
            <w:tcW w:w="560" w:type="dxa"/>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lastRenderedPageBreak/>
              <w:t xml:space="preserve">　</w:t>
            </w:r>
          </w:p>
        </w:tc>
        <w:tc>
          <w:tcPr>
            <w:tcW w:w="560" w:type="dxa"/>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4300" w:type="dxa"/>
            <w:gridSpan w:val="10"/>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1540"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440"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20" w:type="dxa"/>
            <w:gridSpan w:val="6"/>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400"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00" w:type="dxa"/>
            <w:gridSpan w:val="6"/>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60"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08</w:t>
            </w:r>
            <w:r w:rsidRPr="008B65FF">
              <w:rPr>
                <w:rFonts w:ascii="宋体" w:hAnsi="宋体" w:cs="宋体" w:hint="eastAsia"/>
                <w:color w:val="000000"/>
                <w:kern w:val="0"/>
                <w:sz w:val="20"/>
                <w:szCs w:val="20"/>
              </w:rPr>
              <w:t>表</w:t>
            </w:r>
          </w:p>
        </w:tc>
      </w:tr>
      <w:tr w:rsidR="00B129FF" w:rsidRPr="00085D5E">
        <w:trPr>
          <w:trHeight w:val="300"/>
        </w:trPr>
        <w:tc>
          <w:tcPr>
            <w:tcW w:w="5420" w:type="dxa"/>
            <w:gridSpan w:val="12"/>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1540"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440"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20" w:type="dxa"/>
            <w:gridSpan w:val="6"/>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400"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00" w:type="dxa"/>
            <w:gridSpan w:val="6"/>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60"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trHeight w:val="405"/>
        </w:trPr>
        <w:tc>
          <w:tcPr>
            <w:tcW w:w="5420" w:type="dxa"/>
            <w:gridSpan w:val="12"/>
            <w:tcBorders>
              <w:top w:val="single" w:sz="8"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color w:val="000000"/>
                <w:kern w:val="0"/>
                <w:sz w:val="22"/>
                <w:szCs w:val="22"/>
              </w:rPr>
              <w:t xml:space="preserve">   </w:t>
            </w:r>
            <w:r w:rsidRPr="008B65FF">
              <w:rPr>
                <w:rFonts w:ascii="宋体" w:hAnsi="宋体" w:cs="宋体" w:hint="eastAsia"/>
                <w:kern w:val="0"/>
                <w:sz w:val="24"/>
                <w:szCs w:val="24"/>
              </w:rPr>
              <w:t>目</w:t>
            </w:r>
          </w:p>
        </w:tc>
        <w:tc>
          <w:tcPr>
            <w:tcW w:w="1540" w:type="dxa"/>
            <w:gridSpan w:val="3"/>
            <w:vMerge w:val="restart"/>
            <w:tcBorders>
              <w:top w:val="nil"/>
              <w:left w:val="single" w:sz="4" w:space="0" w:color="auto"/>
              <w:bottom w:val="single" w:sz="4" w:space="0" w:color="000000"/>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年初结转和结余</w:t>
            </w:r>
          </w:p>
        </w:tc>
        <w:tc>
          <w:tcPr>
            <w:tcW w:w="1440" w:type="dxa"/>
            <w:gridSpan w:val="3"/>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本年收入</w:t>
            </w:r>
          </w:p>
        </w:tc>
        <w:tc>
          <w:tcPr>
            <w:tcW w:w="4620" w:type="dxa"/>
            <w:gridSpan w:val="15"/>
            <w:tcBorders>
              <w:top w:val="single" w:sz="8" w:space="0" w:color="auto"/>
              <w:left w:val="nil"/>
              <w:bottom w:val="single" w:sz="4"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本年支出</w:t>
            </w:r>
          </w:p>
        </w:tc>
        <w:tc>
          <w:tcPr>
            <w:tcW w:w="1660" w:type="dxa"/>
            <w:gridSpan w:val="2"/>
            <w:vMerge w:val="restart"/>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年末结转和结余</w:t>
            </w:r>
          </w:p>
        </w:tc>
      </w:tr>
      <w:tr w:rsidR="00B129FF" w:rsidRPr="00085D5E">
        <w:trPr>
          <w:trHeight w:val="540"/>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功能分类科目编码</w:t>
            </w:r>
          </w:p>
        </w:tc>
        <w:tc>
          <w:tcPr>
            <w:tcW w:w="4300" w:type="dxa"/>
            <w:gridSpan w:val="10"/>
            <w:vMerge w:val="restart"/>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科目名称</w:t>
            </w:r>
          </w:p>
        </w:tc>
        <w:tc>
          <w:tcPr>
            <w:tcW w:w="1540" w:type="dxa"/>
            <w:gridSpan w:val="3"/>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1440"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620" w:type="dxa"/>
            <w:gridSpan w:val="6"/>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小计</w:t>
            </w:r>
          </w:p>
        </w:tc>
        <w:tc>
          <w:tcPr>
            <w:tcW w:w="1400" w:type="dxa"/>
            <w:gridSpan w:val="3"/>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基本支出</w:t>
            </w:r>
            <w:r w:rsidRPr="008B65FF">
              <w:rPr>
                <w:rFonts w:ascii="宋体" w:hAnsi="宋体" w:cs="宋体"/>
                <w:kern w:val="0"/>
                <w:sz w:val="24"/>
                <w:szCs w:val="24"/>
              </w:rPr>
              <w:t xml:space="preserve">  </w:t>
            </w:r>
          </w:p>
        </w:tc>
        <w:tc>
          <w:tcPr>
            <w:tcW w:w="1600" w:type="dxa"/>
            <w:gridSpan w:val="6"/>
            <w:vMerge w:val="restart"/>
            <w:tcBorders>
              <w:top w:val="nil"/>
              <w:left w:val="single" w:sz="4" w:space="0" w:color="auto"/>
              <w:bottom w:val="single" w:sz="4" w:space="0" w:color="000000"/>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项目支出</w:t>
            </w:r>
          </w:p>
        </w:tc>
        <w:tc>
          <w:tcPr>
            <w:tcW w:w="1660" w:type="dxa"/>
            <w:gridSpan w:val="2"/>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4300" w:type="dxa"/>
            <w:gridSpan w:val="10"/>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540" w:type="dxa"/>
            <w:gridSpan w:val="3"/>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1440"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620" w:type="dxa"/>
            <w:gridSpan w:val="6"/>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400"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600" w:type="dxa"/>
            <w:gridSpan w:val="6"/>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1660" w:type="dxa"/>
            <w:gridSpan w:val="2"/>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4300" w:type="dxa"/>
            <w:gridSpan w:val="10"/>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540" w:type="dxa"/>
            <w:gridSpan w:val="3"/>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1440"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620" w:type="dxa"/>
            <w:gridSpan w:val="6"/>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400"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600" w:type="dxa"/>
            <w:gridSpan w:val="6"/>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1660" w:type="dxa"/>
            <w:gridSpan w:val="2"/>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trHeight w:val="450"/>
        </w:trPr>
        <w:tc>
          <w:tcPr>
            <w:tcW w:w="5420" w:type="dxa"/>
            <w:gridSpan w:val="12"/>
            <w:tcBorders>
              <w:top w:val="single" w:sz="4" w:space="0" w:color="auto"/>
              <w:left w:val="single" w:sz="8" w:space="0" w:color="auto"/>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栏次</w:t>
            </w:r>
          </w:p>
        </w:tc>
        <w:tc>
          <w:tcPr>
            <w:tcW w:w="15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14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c>
          <w:tcPr>
            <w:tcW w:w="162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w:t>
            </w:r>
          </w:p>
        </w:tc>
        <w:tc>
          <w:tcPr>
            <w:tcW w:w="140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w:t>
            </w:r>
          </w:p>
        </w:tc>
        <w:tc>
          <w:tcPr>
            <w:tcW w:w="1600" w:type="dxa"/>
            <w:gridSpan w:val="6"/>
            <w:tcBorders>
              <w:top w:val="nil"/>
              <w:left w:val="nil"/>
              <w:bottom w:val="single" w:sz="4"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w:t>
            </w:r>
          </w:p>
        </w:tc>
        <w:tc>
          <w:tcPr>
            <w:tcW w:w="1660" w:type="dxa"/>
            <w:gridSpan w:val="2"/>
            <w:tcBorders>
              <w:top w:val="nil"/>
              <w:left w:val="single" w:sz="4" w:space="0" w:color="auto"/>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6</w:t>
            </w:r>
          </w:p>
        </w:tc>
      </w:tr>
      <w:tr w:rsidR="00B129FF" w:rsidRPr="00085D5E">
        <w:trPr>
          <w:trHeight w:val="450"/>
        </w:trPr>
        <w:tc>
          <w:tcPr>
            <w:tcW w:w="5420" w:type="dxa"/>
            <w:gridSpan w:val="12"/>
            <w:tcBorders>
              <w:top w:val="nil"/>
              <w:left w:val="single" w:sz="8" w:space="0" w:color="auto"/>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合计</w:t>
            </w:r>
          </w:p>
        </w:tc>
        <w:tc>
          <w:tcPr>
            <w:tcW w:w="15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5,497.71</w:t>
            </w:r>
          </w:p>
        </w:tc>
        <w:tc>
          <w:tcPr>
            <w:tcW w:w="14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5,377.37</w:t>
            </w:r>
          </w:p>
        </w:tc>
        <w:tc>
          <w:tcPr>
            <w:tcW w:w="162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40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0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660" w:type="dxa"/>
            <w:gridSpan w:val="2"/>
            <w:tcBorders>
              <w:top w:val="nil"/>
              <w:left w:val="nil"/>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7,734.18</w:t>
            </w:r>
          </w:p>
        </w:tc>
      </w:tr>
      <w:tr w:rsidR="00B129FF" w:rsidRPr="00085D5E">
        <w:trPr>
          <w:trHeight w:val="450"/>
        </w:trPr>
        <w:tc>
          <w:tcPr>
            <w:tcW w:w="1120" w:type="dxa"/>
            <w:gridSpan w:val="2"/>
            <w:tcBorders>
              <w:top w:val="single" w:sz="4" w:space="0" w:color="auto"/>
              <w:left w:val="single" w:sz="8" w:space="0" w:color="auto"/>
              <w:bottom w:val="nil"/>
              <w:right w:val="single" w:sz="4" w:space="0" w:color="000000"/>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w:t>
            </w:r>
          </w:p>
        </w:tc>
        <w:tc>
          <w:tcPr>
            <w:tcW w:w="4300" w:type="dxa"/>
            <w:gridSpan w:val="10"/>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城乡社区支出</w:t>
            </w:r>
          </w:p>
        </w:tc>
        <w:tc>
          <w:tcPr>
            <w:tcW w:w="15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5,497.71</w:t>
            </w:r>
          </w:p>
        </w:tc>
        <w:tc>
          <w:tcPr>
            <w:tcW w:w="14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5,377.37</w:t>
            </w:r>
          </w:p>
        </w:tc>
        <w:tc>
          <w:tcPr>
            <w:tcW w:w="162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40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00" w:type="dxa"/>
            <w:gridSpan w:val="6"/>
            <w:tcBorders>
              <w:top w:val="nil"/>
              <w:left w:val="nil"/>
              <w:bottom w:val="single" w:sz="4"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660" w:type="dxa"/>
            <w:gridSpan w:val="2"/>
            <w:tcBorders>
              <w:top w:val="nil"/>
              <w:left w:val="single" w:sz="4" w:space="0" w:color="auto"/>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7,734.18</w:t>
            </w:r>
          </w:p>
        </w:tc>
      </w:tr>
      <w:tr w:rsidR="00B129FF" w:rsidRPr="00085D5E">
        <w:trPr>
          <w:trHeight w:val="450"/>
        </w:trPr>
        <w:tc>
          <w:tcPr>
            <w:tcW w:w="1120" w:type="dxa"/>
            <w:gridSpan w:val="2"/>
            <w:tcBorders>
              <w:top w:val="single" w:sz="4" w:space="0" w:color="auto"/>
              <w:left w:val="single" w:sz="8" w:space="0" w:color="auto"/>
              <w:bottom w:val="nil"/>
              <w:right w:val="single" w:sz="4" w:space="0" w:color="000000"/>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21213</w:t>
            </w:r>
          </w:p>
        </w:tc>
        <w:tc>
          <w:tcPr>
            <w:tcW w:w="4300" w:type="dxa"/>
            <w:gridSpan w:val="10"/>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18"/>
                <w:szCs w:val="18"/>
              </w:rPr>
            </w:pPr>
            <w:r w:rsidRPr="008B65FF">
              <w:rPr>
                <w:rFonts w:ascii="宋体" w:hAnsi="宋体" w:cs="宋体" w:hint="eastAsia"/>
                <w:kern w:val="0"/>
                <w:sz w:val="18"/>
                <w:szCs w:val="18"/>
              </w:rPr>
              <w:t>城市基础设施配套费及对应专项债务收入安排的支出</w:t>
            </w:r>
          </w:p>
        </w:tc>
        <w:tc>
          <w:tcPr>
            <w:tcW w:w="15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5,497.71</w:t>
            </w:r>
          </w:p>
        </w:tc>
        <w:tc>
          <w:tcPr>
            <w:tcW w:w="14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5,377.37</w:t>
            </w:r>
          </w:p>
        </w:tc>
        <w:tc>
          <w:tcPr>
            <w:tcW w:w="162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40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00" w:type="dxa"/>
            <w:gridSpan w:val="6"/>
            <w:tcBorders>
              <w:top w:val="nil"/>
              <w:left w:val="nil"/>
              <w:bottom w:val="single" w:sz="4"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660" w:type="dxa"/>
            <w:gridSpan w:val="2"/>
            <w:tcBorders>
              <w:top w:val="nil"/>
              <w:left w:val="single" w:sz="4" w:space="0" w:color="auto"/>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7,734.18</w:t>
            </w:r>
          </w:p>
        </w:tc>
      </w:tr>
      <w:tr w:rsidR="00B129FF" w:rsidRPr="00085D5E">
        <w:trPr>
          <w:trHeight w:val="450"/>
        </w:trPr>
        <w:tc>
          <w:tcPr>
            <w:tcW w:w="1120" w:type="dxa"/>
            <w:gridSpan w:val="2"/>
            <w:tcBorders>
              <w:top w:val="single" w:sz="4" w:space="0" w:color="auto"/>
              <w:left w:val="single" w:sz="8" w:space="0" w:color="auto"/>
              <w:bottom w:val="nil"/>
              <w:right w:val="single" w:sz="4" w:space="0" w:color="000000"/>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2121301</w:t>
            </w:r>
          </w:p>
        </w:tc>
        <w:tc>
          <w:tcPr>
            <w:tcW w:w="4300" w:type="dxa"/>
            <w:gridSpan w:val="10"/>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城市公共设施</w:t>
            </w:r>
          </w:p>
        </w:tc>
        <w:tc>
          <w:tcPr>
            <w:tcW w:w="15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1,075.86</w:t>
            </w:r>
          </w:p>
        </w:tc>
        <w:tc>
          <w:tcPr>
            <w:tcW w:w="14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2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442.56</w:t>
            </w:r>
          </w:p>
        </w:tc>
        <w:tc>
          <w:tcPr>
            <w:tcW w:w="140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00" w:type="dxa"/>
            <w:gridSpan w:val="6"/>
            <w:tcBorders>
              <w:top w:val="nil"/>
              <w:left w:val="nil"/>
              <w:bottom w:val="single" w:sz="4"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442.56</w:t>
            </w:r>
          </w:p>
        </w:tc>
        <w:tc>
          <w:tcPr>
            <w:tcW w:w="1660" w:type="dxa"/>
            <w:gridSpan w:val="2"/>
            <w:tcBorders>
              <w:top w:val="nil"/>
              <w:left w:val="single" w:sz="4" w:space="0" w:color="auto"/>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633.30</w:t>
            </w:r>
          </w:p>
        </w:tc>
      </w:tr>
      <w:tr w:rsidR="00B129FF" w:rsidRPr="00085D5E">
        <w:trPr>
          <w:trHeight w:val="450"/>
        </w:trPr>
        <w:tc>
          <w:tcPr>
            <w:tcW w:w="1120" w:type="dxa"/>
            <w:gridSpan w:val="2"/>
            <w:tcBorders>
              <w:top w:val="single" w:sz="4" w:space="0" w:color="auto"/>
              <w:left w:val="single" w:sz="8" w:space="0" w:color="auto"/>
              <w:bottom w:val="single" w:sz="8" w:space="0" w:color="auto"/>
              <w:right w:val="single" w:sz="4" w:space="0" w:color="000000"/>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2121399</w:t>
            </w:r>
          </w:p>
        </w:tc>
        <w:tc>
          <w:tcPr>
            <w:tcW w:w="4300" w:type="dxa"/>
            <w:gridSpan w:val="10"/>
            <w:tcBorders>
              <w:top w:val="nil"/>
              <w:left w:val="nil"/>
              <w:bottom w:val="single" w:sz="8"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其他城市基础设施配套</w:t>
            </w:r>
            <w:proofErr w:type="gramStart"/>
            <w:r w:rsidRPr="008B65FF">
              <w:rPr>
                <w:rFonts w:ascii="宋体" w:hAnsi="宋体" w:cs="宋体" w:hint="eastAsia"/>
                <w:kern w:val="0"/>
                <w:sz w:val="20"/>
                <w:szCs w:val="20"/>
              </w:rPr>
              <w:t>费安排</w:t>
            </w:r>
            <w:proofErr w:type="gramEnd"/>
            <w:r w:rsidRPr="008B65FF">
              <w:rPr>
                <w:rFonts w:ascii="宋体" w:hAnsi="宋体" w:cs="宋体" w:hint="eastAsia"/>
                <w:kern w:val="0"/>
                <w:sz w:val="20"/>
                <w:szCs w:val="20"/>
              </w:rPr>
              <w:t>的支出</w:t>
            </w:r>
          </w:p>
        </w:tc>
        <w:tc>
          <w:tcPr>
            <w:tcW w:w="1540" w:type="dxa"/>
            <w:gridSpan w:val="3"/>
            <w:tcBorders>
              <w:top w:val="nil"/>
              <w:left w:val="nil"/>
              <w:bottom w:val="single" w:sz="8"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4,421.84</w:t>
            </w:r>
          </w:p>
        </w:tc>
        <w:tc>
          <w:tcPr>
            <w:tcW w:w="1440" w:type="dxa"/>
            <w:gridSpan w:val="3"/>
            <w:tcBorders>
              <w:top w:val="nil"/>
              <w:left w:val="nil"/>
              <w:bottom w:val="single" w:sz="8"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5,377.37</w:t>
            </w:r>
          </w:p>
        </w:tc>
        <w:tc>
          <w:tcPr>
            <w:tcW w:w="1620" w:type="dxa"/>
            <w:gridSpan w:val="6"/>
            <w:tcBorders>
              <w:top w:val="nil"/>
              <w:left w:val="nil"/>
              <w:bottom w:val="single" w:sz="8"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2,698.33</w:t>
            </w:r>
          </w:p>
        </w:tc>
        <w:tc>
          <w:tcPr>
            <w:tcW w:w="1400" w:type="dxa"/>
            <w:gridSpan w:val="3"/>
            <w:tcBorders>
              <w:top w:val="nil"/>
              <w:left w:val="nil"/>
              <w:bottom w:val="single" w:sz="8"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00" w:type="dxa"/>
            <w:gridSpan w:val="6"/>
            <w:tcBorders>
              <w:top w:val="nil"/>
              <w:left w:val="nil"/>
              <w:bottom w:val="single" w:sz="8"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2,698.33</w:t>
            </w:r>
          </w:p>
        </w:tc>
        <w:tc>
          <w:tcPr>
            <w:tcW w:w="1660" w:type="dxa"/>
            <w:gridSpan w:val="2"/>
            <w:tcBorders>
              <w:top w:val="nil"/>
              <w:left w:val="single" w:sz="4" w:space="0" w:color="auto"/>
              <w:bottom w:val="single" w:sz="8"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7,100.88</w:t>
            </w:r>
          </w:p>
        </w:tc>
      </w:tr>
      <w:tr w:rsidR="00B129FF" w:rsidRPr="00085D5E">
        <w:trPr>
          <w:trHeight w:val="645"/>
        </w:trPr>
        <w:tc>
          <w:tcPr>
            <w:tcW w:w="14680" w:type="dxa"/>
            <w:gridSpan w:val="35"/>
            <w:tcBorders>
              <w:top w:val="single" w:sz="8" w:space="0" w:color="auto"/>
              <w:left w:val="nil"/>
              <w:bottom w:val="nil"/>
              <w:right w:val="nil"/>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注：本表反映部门本年度政府性基金预算财政拨款收入支出及结转和结余情况。</w:t>
            </w:r>
          </w:p>
        </w:tc>
      </w:tr>
    </w:tbl>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p w:rsidR="00B129FF" w:rsidRPr="008B65FF" w:rsidRDefault="00B129FF" w:rsidP="009A123B">
      <w:pPr>
        <w:autoSpaceDE w:val="0"/>
        <w:autoSpaceDN w:val="0"/>
        <w:adjustRightInd w:val="0"/>
        <w:spacing w:line="520" w:lineRule="exact"/>
        <w:rPr>
          <w:rFonts w:ascii="楷体_GB2312" w:eastAsia="楷体_GB2312" w:cs="Times New Roman"/>
          <w:kern w:val="0"/>
          <w:sz w:val="28"/>
          <w:szCs w:val="28"/>
        </w:rPr>
      </w:pPr>
    </w:p>
    <w:p w:rsidR="00B129FF"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r w:rsidRPr="00642765">
        <w:rPr>
          <w:rFonts w:ascii="方正小标宋简体" w:eastAsia="方正小标宋简体" w:cs="方正小标宋简体" w:hint="eastAsia"/>
          <w:kern w:val="0"/>
          <w:sz w:val="44"/>
          <w:szCs w:val="44"/>
        </w:rPr>
        <w:t>第三部分</w:t>
      </w:r>
    </w:p>
    <w:p w:rsidR="00B129FF" w:rsidRPr="00642765"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p>
    <w:p w:rsidR="00B129FF"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r w:rsidRPr="00642765">
        <w:rPr>
          <w:rFonts w:ascii="方正小标宋简体" w:eastAsia="方正小标宋简体" w:cs="方正小标宋简体" w:hint="eastAsia"/>
          <w:kern w:val="0"/>
          <w:sz w:val="44"/>
          <w:szCs w:val="44"/>
        </w:rPr>
        <w:t>市城乡规划局</w:t>
      </w:r>
      <w:r w:rsidRPr="00642765">
        <w:rPr>
          <w:rFonts w:ascii="方正小标宋简体" w:eastAsia="方正小标宋简体" w:cs="方正小标宋简体"/>
          <w:kern w:val="0"/>
          <w:sz w:val="44"/>
          <w:szCs w:val="44"/>
        </w:rPr>
        <w:t>2015</w:t>
      </w:r>
      <w:r w:rsidRPr="00642765">
        <w:rPr>
          <w:rFonts w:ascii="方正小标宋简体" w:eastAsia="方正小标宋简体" w:cs="方正小标宋简体" w:hint="eastAsia"/>
          <w:kern w:val="0"/>
          <w:sz w:val="44"/>
          <w:szCs w:val="44"/>
        </w:rPr>
        <w:t>年度部门决算情况说明</w:t>
      </w:r>
    </w:p>
    <w:p w:rsidR="00B129FF" w:rsidRPr="00642765"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p>
    <w:p w:rsidR="00B129FF" w:rsidRPr="00123CB5"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一、关于市城乡规划局</w:t>
      </w:r>
      <w:r w:rsidRPr="00123CB5">
        <w:rPr>
          <w:rFonts w:ascii="楷体_GB2312" w:eastAsia="楷体_GB2312" w:cs="楷体_GB2312"/>
          <w:b/>
          <w:bCs/>
          <w:kern w:val="0"/>
          <w:sz w:val="28"/>
          <w:szCs w:val="28"/>
        </w:rPr>
        <w:t xml:space="preserve">2015 </w:t>
      </w:r>
      <w:r w:rsidRPr="00123CB5">
        <w:rPr>
          <w:rFonts w:ascii="楷体_GB2312" w:eastAsia="楷体_GB2312" w:cs="楷体_GB2312" w:hint="eastAsia"/>
          <w:b/>
          <w:bCs/>
          <w:kern w:val="0"/>
          <w:sz w:val="28"/>
          <w:szCs w:val="28"/>
        </w:rPr>
        <w:t>年度收入支出决算总体情况说明</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年度收入总计</w:t>
      </w:r>
      <w:r w:rsidRPr="00123CB5">
        <w:rPr>
          <w:rFonts w:ascii="楷体_GB2312" w:eastAsia="楷体_GB2312" w:cs="楷体_GB2312"/>
          <w:kern w:val="0"/>
          <w:sz w:val="28"/>
          <w:szCs w:val="28"/>
        </w:rPr>
        <w:t>13,747.54</w:t>
      </w:r>
      <w:r w:rsidRPr="00123CB5">
        <w:rPr>
          <w:rFonts w:ascii="楷体_GB2312" w:eastAsia="楷体_GB2312" w:cs="楷体_GB2312" w:hint="eastAsia"/>
          <w:kern w:val="0"/>
          <w:sz w:val="28"/>
          <w:szCs w:val="28"/>
        </w:rPr>
        <w:t>万元，支出总计</w:t>
      </w:r>
      <w:r w:rsidRPr="00123CB5">
        <w:rPr>
          <w:rFonts w:ascii="楷体_GB2312" w:eastAsia="楷体_GB2312" w:cs="楷体_GB2312"/>
          <w:kern w:val="0"/>
          <w:sz w:val="28"/>
          <w:szCs w:val="28"/>
        </w:rPr>
        <w:t>13,747.54</w:t>
      </w:r>
      <w:r w:rsidRPr="00123CB5">
        <w:rPr>
          <w:rFonts w:ascii="楷体_GB2312" w:eastAsia="楷体_GB2312" w:cs="楷体_GB2312" w:hint="eastAsia"/>
          <w:kern w:val="0"/>
          <w:sz w:val="28"/>
          <w:szCs w:val="28"/>
        </w:rPr>
        <w:t>万元。与</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年相比，收、支总计各增加</w:t>
      </w:r>
      <w:r w:rsidRPr="00123CB5">
        <w:rPr>
          <w:rFonts w:ascii="楷体_GB2312" w:eastAsia="楷体_GB2312" w:cs="楷体_GB2312"/>
          <w:kern w:val="0"/>
          <w:sz w:val="28"/>
          <w:szCs w:val="28"/>
        </w:rPr>
        <w:t>746.31</w:t>
      </w:r>
      <w:r w:rsidRPr="00123CB5">
        <w:rPr>
          <w:rFonts w:ascii="楷体_GB2312" w:eastAsia="楷体_GB2312" w:cs="楷体_GB2312" w:hint="eastAsia"/>
          <w:kern w:val="0"/>
          <w:sz w:val="28"/>
          <w:szCs w:val="28"/>
        </w:rPr>
        <w:t>万元，增长</w:t>
      </w:r>
      <w:r w:rsidRPr="00123CB5">
        <w:rPr>
          <w:rFonts w:ascii="楷体_GB2312" w:eastAsia="楷体_GB2312" w:cs="楷体_GB2312"/>
          <w:kern w:val="0"/>
          <w:sz w:val="28"/>
          <w:szCs w:val="28"/>
        </w:rPr>
        <w:t>5.74%</w:t>
      </w:r>
      <w:r w:rsidRPr="00123CB5">
        <w:rPr>
          <w:rFonts w:ascii="楷体_GB2312" w:eastAsia="楷体_GB2312" w:cs="楷体_GB2312" w:hint="eastAsia"/>
          <w:kern w:val="0"/>
          <w:sz w:val="28"/>
          <w:szCs w:val="28"/>
        </w:rPr>
        <w:t>。主要原因：一是新增“市城建发展总公司留守人员工资及工作经费”财政拨款支出；二是增加城乡规划编制和管理等财政拨款支出。</w:t>
      </w:r>
    </w:p>
    <w:p w:rsidR="00B129FF" w:rsidRPr="00123CB5"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二、关于市城乡规划局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年度收入决算情况说明</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本年收入合计</w:t>
      </w:r>
      <w:r w:rsidRPr="00123CB5">
        <w:rPr>
          <w:rFonts w:ascii="楷体_GB2312" w:eastAsia="楷体_GB2312" w:cs="楷体_GB2312"/>
          <w:kern w:val="0"/>
          <w:sz w:val="28"/>
          <w:szCs w:val="28"/>
        </w:rPr>
        <w:t>6,852.9</w:t>
      </w:r>
      <w:r w:rsidRPr="00123CB5">
        <w:rPr>
          <w:rFonts w:ascii="楷体_GB2312" w:eastAsia="楷体_GB2312" w:cs="楷体_GB2312" w:hint="eastAsia"/>
          <w:kern w:val="0"/>
          <w:sz w:val="28"/>
          <w:szCs w:val="28"/>
        </w:rPr>
        <w:t>万元，其中：财政拨款收入</w:t>
      </w:r>
      <w:r w:rsidRPr="00123CB5">
        <w:rPr>
          <w:rFonts w:ascii="楷体_GB2312" w:eastAsia="楷体_GB2312" w:cs="楷体_GB2312"/>
          <w:kern w:val="0"/>
          <w:sz w:val="28"/>
          <w:szCs w:val="28"/>
        </w:rPr>
        <w:t>6,544.27</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95.50%</w:t>
      </w:r>
      <w:r w:rsidRPr="00123CB5">
        <w:rPr>
          <w:rFonts w:ascii="楷体_GB2312" w:eastAsia="楷体_GB2312" w:cs="楷体_GB2312" w:hint="eastAsia"/>
          <w:kern w:val="0"/>
          <w:sz w:val="28"/>
          <w:szCs w:val="28"/>
        </w:rPr>
        <w:t>；其他收入</w:t>
      </w:r>
      <w:r w:rsidRPr="00123CB5">
        <w:rPr>
          <w:rFonts w:ascii="楷体_GB2312" w:eastAsia="楷体_GB2312" w:cs="楷体_GB2312"/>
          <w:kern w:val="0"/>
          <w:sz w:val="28"/>
          <w:szCs w:val="28"/>
        </w:rPr>
        <w:t>308.64</w:t>
      </w:r>
      <w:r w:rsidRPr="00123CB5">
        <w:rPr>
          <w:rFonts w:ascii="楷体_GB2312" w:eastAsia="楷体_GB2312" w:cs="楷体_GB2312" w:hint="eastAsia"/>
          <w:kern w:val="0"/>
          <w:sz w:val="28"/>
          <w:szCs w:val="28"/>
        </w:rPr>
        <w:t>万元。</w:t>
      </w:r>
    </w:p>
    <w:p w:rsidR="00B129FF" w:rsidRPr="00123CB5"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三、关于市城乡规划局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年度支出决算情况说明</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本年支出合计</w:t>
      </w:r>
      <w:r w:rsidRPr="00123CB5">
        <w:rPr>
          <w:rFonts w:ascii="楷体_GB2312" w:eastAsia="楷体_GB2312" w:cs="楷体_GB2312"/>
          <w:kern w:val="0"/>
          <w:sz w:val="28"/>
          <w:szCs w:val="28"/>
        </w:rPr>
        <w:t>4,529.62</w:t>
      </w:r>
      <w:r w:rsidRPr="00123CB5">
        <w:rPr>
          <w:rFonts w:ascii="楷体_GB2312" w:eastAsia="楷体_GB2312" w:cs="楷体_GB2312" w:hint="eastAsia"/>
          <w:kern w:val="0"/>
          <w:sz w:val="28"/>
          <w:szCs w:val="28"/>
        </w:rPr>
        <w:t>万元，其中：基本支出</w:t>
      </w:r>
      <w:r w:rsidRPr="00123CB5">
        <w:rPr>
          <w:rFonts w:ascii="楷体_GB2312" w:eastAsia="楷体_GB2312" w:cs="楷体_GB2312"/>
          <w:kern w:val="0"/>
          <w:sz w:val="28"/>
          <w:szCs w:val="28"/>
        </w:rPr>
        <w:t>865.30</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19.10%</w:t>
      </w:r>
      <w:r w:rsidRPr="00123CB5">
        <w:rPr>
          <w:rFonts w:ascii="楷体_GB2312" w:eastAsia="楷体_GB2312" w:cs="楷体_GB2312" w:hint="eastAsia"/>
          <w:kern w:val="0"/>
          <w:sz w:val="28"/>
          <w:szCs w:val="28"/>
        </w:rPr>
        <w:t>；项目支出</w:t>
      </w:r>
      <w:r w:rsidRPr="00123CB5">
        <w:rPr>
          <w:rFonts w:ascii="楷体_GB2312" w:eastAsia="楷体_GB2312" w:cs="楷体_GB2312"/>
          <w:kern w:val="0"/>
          <w:sz w:val="28"/>
          <w:szCs w:val="28"/>
        </w:rPr>
        <w:t xml:space="preserve">3,664.32 </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80.90%</w:t>
      </w:r>
      <w:r w:rsidRPr="00123CB5">
        <w:rPr>
          <w:rFonts w:ascii="楷体_GB2312" w:eastAsia="楷体_GB2312" w:cs="楷体_GB2312" w:hint="eastAsia"/>
          <w:kern w:val="0"/>
          <w:sz w:val="28"/>
          <w:szCs w:val="28"/>
        </w:rPr>
        <w:t>。</w:t>
      </w:r>
    </w:p>
    <w:p w:rsidR="00B129FF" w:rsidRPr="00123CB5"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四、关于市城乡规划局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年度财政拨款收入支出决算总体情况说明</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年度财政拨款收支总决算</w:t>
      </w:r>
      <w:r w:rsidRPr="00123CB5">
        <w:rPr>
          <w:rFonts w:ascii="楷体_GB2312" w:eastAsia="楷体_GB2312" w:cs="楷体_GB2312"/>
          <w:kern w:val="0"/>
          <w:sz w:val="28"/>
          <w:szCs w:val="28"/>
        </w:rPr>
        <w:t>12,167.59</w:t>
      </w:r>
      <w:r w:rsidRPr="00123CB5">
        <w:rPr>
          <w:rFonts w:ascii="楷体_GB2312" w:eastAsia="楷体_GB2312" w:cs="楷体_GB2312" w:hint="eastAsia"/>
          <w:kern w:val="0"/>
          <w:sz w:val="28"/>
          <w:szCs w:val="28"/>
        </w:rPr>
        <w:t>万元。与</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年相比，财政拨款收、支总计各增加</w:t>
      </w:r>
      <w:r w:rsidRPr="00123CB5">
        <w:rPr>
          <w:rFonts w:ascii="楷体_GB2312" w:eastAsia="楷体_GB2312" w:cs="楷体_GB2312"/>
          <w:kern w:val="0"/>
          <w:sz w:val="28"/>
          <w:szCs w:val="28"/>
        </w:rPr>
        <w:t>1,068.44</w:t>
      </w:r>
      <w:r w:rsidRPr="00123CB5">
        <w:rPr>
          <w:rFonts w:ascii="楷体_GB2312" w:eastAsia="楷体_GB2312" w:cs="楷体_GB2312" w:hint="eastAsia"/>
          <w:kern w:val="0"/>
          <w:sz w:val="28"/>
          <w:szCs w:val="28"/>
        </w:rPr>
        <w:t>万元，增长</w:t>
      </w:r>
      <w:r w:rsidRPr="00123CB5">
        <w:rPr>
          <w:rFonts w:ascii="楷体_GB2312" w:eastAsia="楷体_GB2312" w:cs="楷体_GB2312"/>
          <w:kern w:val="0"/>
          <w:sz w:val="28"/>
          <w:szCs w:val="28"/>
        </w:rPr>
        <w:t>9.63%</w:t>
      </w:r>
      <w:r w:rsidRPr="00123CB5">
        <w:rPr>
          <w:rFonts w:ascii="楷体_GB2312" w:eastAsia="楷体_GB2312" w:cs="楷体_GB2312" w:hint="eastAsia"/>
          <w:kern w:val="0"/>
          <w:sz w:val="28"/>
          <w:szCs w:val="28"/>
        </w:rPr>
        <w:t>。主要原因：一是新增“市城建发展总公司留守人员工资及工作经费”财政拨款支出；二是增加城乡规划编制和管理等财政拨款支出。</w:t>
      </w:r>
    </w:p>
    <w:p w:rsidR="00B129FF" w:rsidRPr="00123CB5"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lastRenderedPageBreak/>
        <w:t>五、关于市城乡规划局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年度一般公共预算财政拨款支出决算情况说明</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（一）一般公共预算财政拨款支出决算总体情况。</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年度一般公共预算财政拨款支出</w:t>
      </w:r>
      <w:r w:rsidRPr="00123CB5">
        <w:rPr>
          <w:rFonts w:ascii="楷体_GB2312" w:eastAsia="楷体_GB2312" w:cs="楷体_GB2312"/>
          <w:kern w:val="0"/>
          <w:sz w:val="28"/>
          <w:szCs w:val="28"/>
        </w:rPr>
        <w:t>1,164.75</w:t>
      </w:r>
      <w:r w:rsidRPr="00123CB5">
        <w:rPr>
          <w:rFonts w:ascii="楷体_GB2312" w:eastAsia="楷体_GB2312" w:cs="楷体_GB2312" w:hint="eastAsia"/>
          <w:kern w:val="0"/>
          <w:sz w:val="28"/>
          <w:szCs w:val="28"/>
        </w:rPr>
        <w:t>万元，占本年支出合计的</w:t>
      </w:r>
      <w:r w:rsidRPr="00123CB5">
        <w:rPr>
          <w:rFonts w:ascii="楷体_GB2312" w:eastAsia="楷体_GB2312" w:cs="楷体_GB2312"/>
          <w:kern w:val="0"/>
          <w:sz w:val="28"/>
          <w:szCs w:val="28"/>
        </w:rPr>
        <w:t>25.71%</w:t>
      </w:r>
      <w:r w:rsidRPr="00123CB5">
        <w:rPr>
          <w:rFonts w:ascii="楷体_GB2312" w:eastAsia="楷体_GB2312" w:cs="楷体_GB2312" w:hint="eastAsia"/>
          <w:kern w:val="0"/>
          <w:sz w:val="28"/>
          <w:szCs w:val="28"/>
        </w:rPr>
        <w:t>。与</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年相比，一般公共预算财政拨款支出增加</w:t>
      </w:r>
      <w:r w:rsidRPr="00123CB5">
        <w:rPr>
          <w:rFonts w:ascii="楷体_GB2312" w:eastAsia="楷体_GB2312" w:cs="楷体_GB2312"/>
          <w:kern w:val="0"/>
          <w:sz w:val="28"/>
          <w:szCs w:val="28"/>
        </w:rPr>
        <w:t>342.43</w:t>
      </w:r>
      <w:r w:rsidRPr="00123CB5">
        <w:rPr>
          <w:rFonts w:ascii="楷体_GB2312" w:eastAsia="楷体_GB2312" w:cs="楷体_GB2312" w:hint="eastAsia"/>
          <w:kern w:val="0"/>
          <w:sz w:val="28"/>
          <w:szCs w:val="28"/>
        </w:rPr>
        <w:t>万元，增长</w:t>
      </w:r>
      <w:r w:rsidRPr="00123CB5">
        <w:rPr>
          <w:rFonts w:ascii="楷体_GB2312" w:eastAsia="楷体_GB2312" w:cs="楷体_GB2312"/>
          <w:kern w:val="0"/>
          <w:sz w:val="28"/>
          <w:szCs w:val="28"/>
        </w:rPr>
        <w:t>41.64%</w:t>
      </w:r>
      <w:r w:rsidRPr="00123CB5">
        <w:rPr>
          <w:rFonts w:ascii="楷体_GB2312" w:eastAsia="楷体_GB2312" w:cs="楷体_GB2312" w:hint="eastAsia"/>
          <w:kern w:val="0"/>
          <w:sz w:val="28"/>
          <w:szCs w:val="28"/>
        </w:rPr>
        <w:t>。主要原因是新增“市城建发展总公司留守人员工资及工作经费”财政拨款支出</w:t>
      </w:r>
      <w:r w:rsidRPr="00123CB5">
        <w:rPr>
          <w:rFonts w:ascii="楷体_GB2312" w:eastAsia="楷体_GB2312" w:cs="楷体_GB2312"/>
          <w:kern w:val="0"/>
          <w:sz w:val="28"/>
          <w:szCs w:val="28"/>
        </w:rPr>
        <w:t>306.88</w:t>
      </w:r>
      <w:r w:rsidRPr="00123CB5">
        <w:rPr>
          <w:rFonts w:ascii="楷体_GB2312" w:eastAsia="楷体_GB2312" w:cs="楷体_GB2312" w:hint="eastAsia"/>
          <w:kern w:val="0"/>
          <w:sz w:val="28"/>
          <w:szCs w:val="28"/>
        </w:rPr>
        <w:t>万元。</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（二）一般公共预算财政拨款支出决算结构情况。</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年度一般公共预算财政拨款支出</w:t>
      </w:r>
      <w:r w:rsidRPr="00123CB5">
        <w:rPr>
          <w:rFonts w:ascii="楷体_GB2312" w:eastAsia="楷体_GB2312" w:cs="楷体_GB2312"/>
          <w:kern w:val="0"/>
          <w:sz w:val="28"/>
          <w:szCs w:val="28"/>
        </w:rPr>
        <w:t>1,164.75</w:t>
      </w:r>
      <w:r w:rsidRPr="00123CB5">
        <w:rPr>
          <w:rFonts w:ascii="楷体_GB2312" w:eastAsia="楷体_GB2312" w:cs="楷体_GB2312" w:hint="eastAsia"/>
          <w:kern w:val="0"/>
          <w:sz w:val="28"/>
          <w:szCs w:val="28"/>
        </w:rPr>
        <w:t>万元，主要用于以下方面：社会保障和就业支出（类）支出</w:t>
      </w:r>
      <w:r w:rsidRPr="00123CB5">
        <w:rPr>
          <w:rFonts w:ascii="楷体_GB2312" w:eastAsia="楷体_GB2312" w:cs="楷体_GB2312"/>
          <w:kern w:val="0"/>
          <w:sz w:val="28"/>
          <w:szCs w:val="28"/>
        </w:rPr>
        <w:t>303.73</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26.08%</w:t>
      </w:r>
      <w:r w:rsidRPr="00123CB5">
        <w:rPr>
          <w:rFonts w:ascii="楷体_GB2312" w:eastAsia="楷体_GB2312" w:cs="楷体_GB2312" w:hint="eastAsia"/>
          <w:kern w:val="0"/>
          <w:sz w:val="28"/>
          <w:szCs w:val="28"/>
        </w:rPr>
        <w:t>；医疗卫生与计划生育支出（类）支出</w:t>
      </w:r>
      <w:r w:rsidRPr="00123CB5">
        <w:rPr>
          <w:rFonts w:ascii="楷体_GB2312" w:eastAsia="楷体_GB2312" w:cs="楷体_GB2312"/>
          <w:kern w:val="0"/>
          <w:sz w:val="28"/>
          <w:szCs w:val="28"/>
        </w:rPr>
        <w:t>16.46</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1.41%</w:t>
      </w:r>
      <w:r w:rsidRPr="00123CB5">
        <w:rPr>
          <w:rFonts w:ascii="楷体_GB2312" w:eastAsia="楷体_GB2312" w:cs="楷体_GB2312" w:hint="eastAsia"/>
          <w:kern w:val="0"/>
          <w:sz w:val="28"/>
          <w:szCs w:val="28"/>
        </w:rPr>
        <w:t>；城乡社区支出（类）支出</w:t>
      </w:r>
      <w:r w:rsidRPr="00123CB5">
        <w:rPr>
          <w:rFonts w:ascii="楷体_GB2312" w:eastAsia="楷体_GB2312" w:cs="楷体_GB2312"/>
          <w:kern w:val="0"/>
          <w:sz w:val="28"/>
          <w:szCs w:val="28"/>
        </w:rPr>
        <w:t>815.53</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70.02%</w:t>
      </w:r>
      <w:r w:rsidRPr="00123CB5">
        <w:rPr>
          <w:rFonts w:ascii="楷体_GB2312" w:eastAsia="楷体_GB2312" w:cs="楷体_GB2312" w:hint="eastAsia"/>
          <w:kern w:val="0"/>
          <w:sz w:val="28"/>
          <w:szCs w:val="28"/>
        </w:rPr>
        <w:t>；住房保障支出（类）支出</w:t>
      </w:r>
      <w:r w:rsidRPr="00123CB5">
        <w:rPr>
          <w:rFonts w:ascii="楷体_GB2312" w:eastAsia="楷体_GB2312" w:cs="楷体_GB2312"/>
          <w:kern w:val="0"/>
          <w:sz w:val="28"/>
          <w:szCs w:val="28"/>
        </w:rPr>
        <w:t>29.04</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2.49%</w:t>
      </w:r>
      <w:r w:rsidRPr="00123CB5">
        <w:rPr>
          <w:rFonts w:ascii="楷体_GB2312" w:eastAsia="楷体_GB2312" w:cs="楷体_GB2312" w:hint="eastAsia"/>
          <w:kern w:val="0"/>
          <w:sz w:val="28"/>
          <w:szCs w:val="28"/>
        </w:rPr>
        <w:t>。</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（三）一般公共预算财政拨款支出决算具体情况。</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年度一般公共预算财政拨款支出年初预算为</w:t>
      </w:r>
      <w:r w:rsidRPr="00123CB5">
        <w:rPr>
          <w:rFonts w:ascii="楷体_GB2312" w:eastAsia="楷体_GB2312" w:cs="楷体_GB2312"/>
          <w:kern w:val="0"/>
          <w:sz w:val="28"/>
          <w:szCs w:val="28"/>
        </w:rPr>
        <w:t>741.38</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1,164.75</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157.11%</w:t>
      </w:r>
      <w:r w:rsidRPr="00123CB5">
        <w:rPr>
          <w:rFonts w:ascii="楷体_GB2312" w:eastAsia="楷体_GB2312" w:cs="楷体_GB2312" w:hint="eastAsia"/>
          <w:kern w:val="0"/>
          <w:sz w:val="28"/>
          <w:szCs w:val="28"/>
        </w:rPr>
        <w:t>。决算数大于预算数的主要原因：一是年中追加安排“市城建发展总公司留守人员工资及工作经费”等支出预算；二是部分支出年初未申请财政拨款预算，而是按规定通过使用以前年度财政拨款结转和结余资金解决。其中：</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1.</w:t>
      </w:r>
      <w:r w:rsidRPr="00123CB5">
        <w:rPr>
          <w:rFonts w:ascii="楷体_GB2312" w:eastAsia="楷体_GB2312" w:cs="楷体_GB2312" w:hint="eastAsia"/>
          <w:kern w:val="0"/>
          <w:sz w:val="28"/>
          <w:szCs w:val="28"/>
        </w:rPr>
        <w:t>社会保障和就业（类）行政事业单位离退休（款）归口管理的行政单位离退休（项）。年初预算为</w:t>
      </w:r>
      <w:r w:rsidRPr="00123CB5">
        <w:rPr>
          <w:rFonts w:ascii="楷体_GB2312" w:eastAsia="楷体_GB2312" w:cs="楷体_GB2312"/>
          <w:kern w:val="0"/>
          <w:sz w:val="28"/>
          <w:szCs w:val="28"/>
        </w:rPr>
        <w:t>261,93</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276.56</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105.59%</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年基本工资标准调整，相应增加支出。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 xml:space="preserve">2. </w:t>
      </w:r>
      <w:r w:rsidRPr="00123CB5">
        <w:rPr>
          <w:rFonts w:ascii="楷体_GB2312" w:eastAsia="楷体_GB2312" w:cs="楷体_GB2312" w:hint="eastAsia"/>
          <w:kern w:val="0"/>
          <w:sz w:val="28"/>
          <w:szCs w:val="28"/>
        </w:rPr>
        <w:t>社会保障和就业（类）行政事业单位离退休（款）事业单位离退休（项）。年初预算为</w:t>
      </w:r>
      <w:r w:rsidRPr="00123CB5">
        <w:rPr>
          <w:rFonts w:ascii="楷体_GB2312" w:eastAsia="楷体_GB2312" w:cs="楷体_GB2312"/>
          <w:kern w:val="0"/>
          <w:sz w:val="28"/>
          <w:szCs w:val="28"/>
        </w:rPr>
        <w:t>26,21</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27.17</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103.66%</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年基本工资标准调整，相应增加支出。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 xml:space="preserve">3. </w:t>
      </w:r>
      <w:r w:rsidRPr="00123CB5">
        <w:rPr>
          <w:rFonts w:ascii="楷体_GB2312" w:eastAsia="楷体_GB2312" w:cs="楷体_GB2312" w:hint="eastAsia"/>
          <w:kern w:val="0"/>
          <w:sz w:val="28"/>
          <w:szCs w:val="28"/>
        </w:rPr>
        <w:t>医疗卫生与计划生育支出（类）医疗保障（款）行政单位医疗（项）。年初预算为</w:t>
      </w:r>
      <w:r w:rsidRPr="00123CB5">
        <w:rPr>
          <w:rFonts w:ascii="楷体_GB2312" w:eastAsia="楷体_GB2312" w:cs="楷体_GB2312"/>
          <w:kern w:val="0"/>
          <w:sz w:val="28"/>
          <w:szCs w:val="28"/>
        </w:rPr>
        <w:t>12.98</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14.31</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110.25%</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年医疗保险缴费基数调整，相应增加支出。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lastRenderedPageBreak/>
        <w:t>4.</w:t>
      </w:r>
      <w:r w:rsidRPr="00123CB5">
        <w:rPr>
          <w:rFonts w:ascii="楷体_GB2312" w:eastAsia="楷体_GB2312" w:cs="楷体_GB2312" w:hint="eastAsia"/>
          <w:kern w:val="0"/>
          <w:sz w:val="28"/>
          <w:szCs w:val="28"/>
        </w:rPr>
        <w:t>医疗卫生与计划生育支出（类）医疗保障（款）事业单位医疗（项）。年初预算为</w:t>
      </w:r>
      <w:r w:rsidRPr="00123CB5">
        <w:rPr>
          <w:rFonts w:ascii="楷体_GB2312" w:eastAsia="楷体_GB2312" w:cs="楷体_GB2312"/>
          <w:kern w:val="0"/>
          <w:sz w:val="28"/>
          <w:szCs w:val="28"/>
        </w:rPr>
        <w:t>2.03</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2.14</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105.42%</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年医疗保险缴费基数调整，相应增加支出。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5.</w:t>
      </w:r>
      <w:r w:rsidRPr="00123CB5">
        <w:rPr>
          <w:rFonts w:ascii="楷体_GB2312" w:eastAsia="楷体_GB2312" w:cs="楷体_GB2312"/>
          <w:sz w:val="28"/>
          <w:szCs w:val="28"/>
        </w:rPr>
        <w:t xml:space="preserve"> </w:t>
      </w:r>
      <w:r w:rsidRPr="00123CB5">
        <w:rPr>
          <w:rFonts w:ascii="楷体_GB2312" w:eastAsia="楷体_GB2312" w:cs="楷体_GB2312" w:hint="eastAsia"/>
          <w:kern w:val="0"/>
          <w:sz w:val="28"/>
          <w:szCs w:val="28"/>
        </w:rPr>
        <w:t>城乡社区支出（类）城乡社区管理事务（款）行政运行（项）。年初预算为</w:t>
      </w:r>
      <w:r w:rsidRPr="00123CB5">
        <w:rPr>
          <w:rFonts w:ascii="楷体_GB2312" w:eastAsia="楷体_GB2312" w:cs="楷体_GB2312"/>
          <w:kern w:val="0"/>
          <w:sz w:val="28"/>
          <w:szCs w:val="28"/>
        </w:rPr>
        <w:t>236.01</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289.89</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122.83%</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年基本工资标准调整，相应增加支出。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 xml:space="preserve">6. </w:t>
      </w:r>
      <w:r w:rsidRPr="00123CB5">
        <w:rPr>
          <w:rFonts w:ascii="楷体_GB2312" w:eastAsia="楷体_GB2312" w:cs="楷体_GB2312" w:hint="eastAsia"/>
          <w:kern w:val="0"/>
          <w:sz w:val="28"/>
          <w:szCs w:val="28"/>
        </w:rPr>
        <w:t>城乡社区支出（类）城乡社区管理事务（款）一般行政管理事务（项）。该科目年初未申请财政拨款预算，支出决算为</w:t>
      </w:r>
      <w:r w:rsidRPr="00123CB5">
        <w:rPr>
          <w:rFonts w:ascii="楷体_GB2312" w:eastAsia="楷体_GB2312" w:cs="楷体_GB2312"/>
          <w:kern w:val="0"/>
          <w:sz w:val="28"/>
          <w:szCs w:val="28"/>
        </w:rPr>
        <w:t>3.75</w:t>
      </w:r>
      <w:r w:rsidRPr="00123CB5">
        <w:rPr>
          <w:rFonts w:ascii="楷体_GB2312" w:eastAsia="楷体_GB2312" w:cs="楷体_GB2312" w:hint="eastAsia"/>
          <w:kern w:val="0"/>
          <w:sz w:val="28"/>
          <w:szCs w:val="28"/>
        </w:rPr>
        <w:t>万元，决算数为年中追加安排“千人计划”人员相关经济待遇。</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 xml:space="preserve">7. </w:t>
      </w:r>
      <w:r w:rsidRPr="00123CB5">
        <w:rPr>
          <w:rFonts w:ascii="楷体_GB2312" w:eastAsia="楷体_GB2312" w:cs="楷体_GB2312" w:hint="eastAsia"/>
          <w:kern w:val="0"/>
          <w:sz w:val="28"/>
          <w:szCs w:val="28"/>
        </w:rPr>
        <w:t>城乡社区支出（类）城乡社区管理事务（款）其他城乡社区管理事务支出（项）。年初预算为</w:t>
      </w:r>
      <w:r w:rsidRPr="00123CB5">
        <w:rPr>
          <w:rFonts w:ascii="楷体_GB2312" w:eastAsia="楷体_GB2312" w:cs="楷体_GB2312"/>
          <w:kern w:val="0"/>
          <w:sz w:val="28"/>
          <w:szCs w:val="28"/>
        </w:rPr>
        <w:t>175.10</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194.21</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110.91%</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年基本工资标准调整，相应增加支出。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 xml:space="preserve">8. </w:t>
      </w:r>
      <w:r w:rsidRPr="00123CB5">
        <w:rPr>
          <w:rFonts w:ascii="楷体_GB2312" w:eastAsia="楷体_GB2312" w:cs="楷体_GB2312" w:hint="eastAsia"/>
          <w:kern w:val="0"/>
          <w:sz w:val="28"/>
          <w:szCs w:val="28"/>
        </w:rPr>
        <w:t>城乡社区支出（类）城乡社区规划与管理（款）城乡社区规划与管理（项）。该科目年初未申请财政拨款预算，支出决算为</w:t>
      </w:r>
      <w:r w:rsidRPr="00123CB5">
        <w:rPr>
          <w:rFonts w:ascii="楷体_GB2312" w:eastAsia="楷体_GB2312" w:cs="楷体_GB2312"/>
          <w:kern w:val="0"/>
          <w:sz w:val="28"/>
          <w:szCs w:val="28"/>
        </w:rPr>
        <w:t>327.68</w:t>
      </w:r>
      <w:r w:rsidRPr="00123CB5">
        <w:rPr>
          <w:rFonts w:ascii="楷体_GB2312" w:eastAsia="楷体_GB2312" w:cs="楷体_GB2312" w:hint="eastAsia"/>
          <w:kern w:val="0"/>
          <w:sz w:val="28"/>
          <w:szCs w:val="28"/>
        </w:rPr>
        <w:t>万元。决算数大于预算数的主要原因是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年年中追加安排“市城建发展总公司留守人员工资及工作经费”等财政拨款支出预算。</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 xml:space="preserve">9. </w:t>
      </w:r>
      <w:r w:rsidRPr="00123CB5">
        <w:rPr>
          <w:rFonts w:ascii="楷体_GB2312" w:eastAsia="楷体_GB2312" w:cs="楷体_GB2312" w:hint="eastAsia"/>
          <w:kern w:val="0"/>
          <w:sz w:val="28"/>
          <w:szCs w:val="28"/>
        </w:rPr>
        <w:t>住房保障（类）住房改革支出（款）住房公积金（项）。年初预算为</w:t>
      </w:r>
      <w:r w:rsidRPr="00123CB5">
        <w:rPr>
          <w:rFonts w:ascii="楷体_GB2312" w:eastAsia="楷体_GB2312" w:cs="楷体_GB2312"/>
          <w:kern w:val="0"/>
          <w:sz w:val="28"/>
          <w:szCs w:val="28"/>
        </w:rPr>
        <w:t>27.12</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29.04</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107.08%</w:t>
      </w:r>
      <w:r w:rsidRPr="00123CB5">
        <w:rPr>
          <w:rFonts w:ascii="楷体_GB2312" w:eastAsia="楷体_GB2312" w:cs="楷体_GB2312" w:hint="eastAsia"/>
          <w:kern w:val="0"/>
          <w:sz w:val="28"/>
          <w:szCs w:val="28"/>
        </w:rPr>
        <w:t>。</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六、关于市城乡规划局</w:t>
      </w:r>
      <w:r w:rsidRPr="00A42A0C">
        <w:rPr>
          <w:rFonts w:ascii="楷体_GB2312" w:eastAsia="楷体_GB2312" w:cs="楷体_GB2312"/>
          <w:b/>
          <w:bCs/>
          <w:kern w:val="0"/>
          <w:sz w:val="28"/>
          <w:szCs w:val="28"/>
        </w:rPr>
        <w:t xml:space="preserve">2015 </w:t>
      </w:r>
      <w:r w:rsidRPr="00A42A0C">
        <w:rPr>
          <w:rFonts w:ascii="楷体_GB2312" w:eastAsia="楷体_GB2312" w:cs="楷体_GB2312" w:hint="eastAsia"/>
          <w:b/>
          <w:bCs/>
          <w:kern w:val="0"/>
          <w:sz w:val="28"/>
          <w:szCs w:val="28"/>
        </w:rPr>
        <w:t>年度一般公共预算财政拨款基本支出决算情况说明</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年度一般公共预算财政拨款基本支出</w:t>
      </w:r>
      <w:r w:rsidRPr="00123CB5">
        <w:rPr>
          <w:rFonts w:ascii="楷体_GB2312" w:eastAsia="楷体_GB2312" w:cs="楷体_GB2312"/>
          <w:kern w:val="0"/>
          <w:sz w:val="28"/>
          <w:szCs w:val="28"/>
        </w:rPr>
        <w:t>837.07</w:t>
      </w:r>
      <w:r w:rsidRPr="00123CB5">
        <w:rPr>
          <w:rFonts w:ascii="楷体_GB2312" w:eastAsia="楷体_GB2312" w:cs="楷体_GB2312" w:hint="eastAsia"/>
          <w:kern w:val="0"/>
          <w:sz w:val="28"/>
          <w:szCs w:val="28"/>
        </w:rPr>
        <w:t>万元，其中：人员经费</w:t>
      </w:r>
      <w:r w:rsidRPr="00123CB5">
        <w:rPr>
          <w:rFonts w:ascii="楷体_GB2312" w:eastAsia="楷体_GB2312" w:cs="楷体_GB2312"/>
          <w:kern w:val="0"/>
          <w:sz w:val="28"/>
          <w:szCs w:val="28"/>
        </w:rPr>
        <w:t>743.47</w:t>
      </w:r>
      <w:r w:rsidRPr="00123CB5">
        <w:rPr>
          <w:rFonts w:ascii="楷体_GB2312" w:eastAsia="楷体_GB2312" w:cs="楷体_GB2312" w:hint="eastAsia"/>
          <w:kern w:val="0"/>
          <w:sz w:val="28"/>
          <w:szCs w:val="28"/>
        </w:rPr>
        <w:t>万元，主要包括：基本工资、津贴补贴、奖金、社会保障缴费、绩效工资、退休费、生活补助、医疗费、住房公积金、其他对个人和家庭的补助支出；公用经费</w:t>
      </w:r>
      <w:r w:rsidRPr="00123CB5">
        <w:rPr>
          <w:rFonts w:ascii="楷体_GB2312" w:eastAsia="楷体_GB2312" w:cs="楷体_GB2312"/>
          <w:kern w:val="0"/>
          <w:sz w:val="28"/>
          <w:szCs w:val="28"/>
        </w:rPr>
        <w:t>93.60</w:t>
      </w:r>
      <w:r w:rsidRPr="00123CB5">
        <w:rPr>
          <w:rFonts w:ascii="楷体_GB2312" w:eastAsia="楷体_GB2312" w:cs="楷体_GB2312" w:hint="eastAsia"/>
          <w:kern w:val="0"/>
          <w:sz w:val="28"/>
          <w:szCs w:val="28"/>
        </w:rPr>
        <w:t>万元，主要包括：办公费、水费、电费、邮电费、差旅费、维修（护）费、会议费、培训费、公务接待费、劳务费、公务用车运行维护费、其他交通费用、其他商品和服务支出、。</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lastRenderedPageBreak/>
        <w:t>七、关于市城乡规划局</w:t>
      </w:r>
      <w:r w:rsidRPr="00A42A0C">
        <w:rPr>
          <w:rFonts w:ascii="楷体_GB2312" w:eastAsia="楷体_GB2312" w:cs="楷体_GB2312"/>
          <w:b/>
          <w:bCs/>
          <w:kern w:val="0"/>
          <w:sz w:val="28"/>
          <w:szCs w:val="28"/>
        </w:rPr>
        <w:t xml:space="preserve">2015 </w:t>
      </w:r>
      <w:r w:rsidRPr="00A42A0C">
        <w:rPr>
          <w:rFonts w:ascii="楷体_GB2312" w:eastAsia="楷体_GB2312" w:cs="楷体_GB2312" w:hint="eastAsia"/>
          <w:b/>
          <w:bCs/>
          <w:kern w:val="0"/>
          <w:sz w:val="28"/>
          <w:szCs w:val="28"/>
        </w:rPr>
        <w:t>年度一般公共预算财政拨款“三公”经费支出决算情况说明</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（一）一般公共预算财政拨款“三公”经费支出决算总体情况说明。</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年度“三公”经费一般公共预算财政拨款支出预算为</w:t>
      </w:r>
      <w:r w:rsidRPr="00123CB5">
        <w:rPr>
          <w:rFonts w:ascii="楷体_GB2312" w:eastAsia="楷体_GB2312" w:cs="楷体_GB2312"/>
          <w:kern w:val="0"/>
          <w:sz w:val="28"/>
          <w:szCs w:val="28"/>
        </w:rPr>
        <w:t>31</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13.31</w:t>
      </w:r>
      <w:r w:rsidRPr="00123CB5">
        <w:rPr>
          <w:rFonts w:ascii="楷体_GB2312" w:eastAsia="楷体_GB2312" w:cs="楷体_GB2312" w:hint="eastAsia"/>
          <w:kern w:val="0"/>
          <w:sz w:val="28"/>
          <w:szCs w:val="28"/>
        </w:rPr>
        <w:t>万元，完成预算的</w:t>
      </w:r>
      <w:r w:rsidRPr="00123CB5">
        <w:rPr>
          <w:rFonts w:ascii="楷体_GB2312" w:eastAsia="楷体_GB2312" w:cs="楷体_GB2312"/>
          <w:kern w:val="0"/>
          <w:sz w:val="28"/>
          <w:szCs w:val="28"/>
        </w:rPr>
        <w:t>57.06%</w:t>
      </w:r>
      <w:r w:rsidRPr="00123CB5">
        <w:rPr>
          <w:rFonts w:ascii="楷体_GB2312" w:eastAsia="楷体_GB2312" w:cs="楷体_GB2312" w:hint="eastAsia"/>
          <w:kern w:val="0"/>
          <w:sz w:val="28"/>
          <w:szCs w:val="28"/>
        </w:rPr>
        <w:t>，其中：因公出国（境）费支出决算为</w:t>
      </w:r>
      <w:proofErr w:type="gramStart"/>
      <w:r w:rsidRPr="00123CB5">
        <w:rPr>
          <w:rFonts w:ascii="楷体_GB2312" w:eastAsia="楷体_GB2312" w:cs="楷体_GB2312" w:hint="eastAsia"/>
          <w:kern w:val="0"/>
          <w:sz w:val="28"/>
          <w:szCs w:val="28"/>
        </w:rPr>
        <w:t>为</w:t>
      </w:r>
      <w:proofErr w:type="gramEnd"/>
      <w:r w:rsidRPr="00123CB5">
        <w:rPr>
          <w:rFonts w:ascii="楷体_GB2312" w:eastAsia="楷体_GB2312" w:cs="楷体_GB2312"/>
          <w:kern w:val="0"/>
          <w:sz w:val="28"/>
          <w:szCs w:val="28"/>
        </w:rPr>
        <w:t>0</w:t>
      </w:r>
      <w:r w:rsidRPr="00123CB5">
        <w:rPr>
          <w:rFonts w:ascii="楷体_GB2312" w:eastAsia="楷体_GB2312" w:cs="楷体_GB2312" w:hint="eastAsia"/>
          <w:kern w:val="0"/>
          <w:sz w:val="28"/>
          <w:szCs w:val="28"/>
        </w:rPr>
        <w:t>万元；公务用车购置及运行费支出决算为</w:t>
      </w:r>
      <w:r w:rsidRPr="00123CB5">
        <w:rPr>
          <w:rFonts w:ascii="楷体_GB2312" w:eastAsia="楷体_GB2312" w:cs="楷体_GB2312"/>
          <w:kern w:val="0"/>
          <w:sz w:val="28"/>
          <w:szCs w:val="28"/>
        </w:rPr>
        <w:t>10.5</w:t>
      </w:r>
      <w:r w:rsidRPr="00123CB5">
        <w:rPr>
          <w:rFonts w:ascii="楷体_GB2312" w:eastAsia="楷体_GB2312" w:cs="楷体_GB2312" w:hint="eastAsia"/>
          <w:kern w:val="0"/>
          <w:sz w:val="28"/>
          <w:szCs w:val="28"/>
        </w:rPr>
        <w:t>万元，完成预算的</w:t>
      </w:r>
      <w:r w:rsidRPr="00123CB5">
        <w:rPr>
          <w:rFonts w:ascii="楷体_GB2312" w:eastAsia="楷体_GB2312" w:cs="楷体_GB2312"/>
          <w:kern w:val="0"/>
          <w:sz w:val="28"/>
          <w:szCs w:val="28"/>
        </w:rPr>
        <w:t>105%</w:t>
      </w:r>
      <w:r w:rsidRPr="00123CB5">
        <w:rPr>
          <w:rFonts w:ascii="楷体_GB2312" w:eastAsia="楷体_GB2312" w:cs="楷体_GB2312" w:hint="eastAsia"/>
          <w:kern w:val="0"/>
          <w:sz w:val="28"/>
          <w:szCs w:val="28"/>
        </w:rPr>
        <w:t>；公务接待费支出决算为</w:t>
      </w:r>
      <w:bookmarkStart w:id="0" w:name="_GoBack"/>
      <w:bookmarkEnd w:id="0"/>
      <w:r w:rsidRPr="00123CB5">
        <w:rPr>
          <w:rFonts w:ascii="楷体_GB2312" w:eastAsia="楷体_GB2312" w:cs="楷体_GB2312"/>
          <w:kern w:val="0"/>
          <w:sz w:val="28"/>
          <w:szCs w:val="28"/>
        </w:rPr>
        <w:t>2.81</w:t>
      </w:r>
      <w:r w:rsidRPr="00123CB5">
        <w:rPr>
          <w:rFonts w:ascii="楷体_GB2312" w:eastAsia="楷体_GB2312" w:cs="楷体_GB2312" w:hint="eastAsia"/>
          <w:kern w:val="0"/>
          <w:sz w:val="28"/>
          <w:szCs w:val="28"/>
        </w:rPr>
        <w:t>万元，完成预算的</w:t>
      </w:r>
      <w:r w:rsidRPr="00123CB5">
        <w:rPr>
          <w:rFonts w:ascii="楷体_GB2312" w:eastAsia="楷体_GB2312" w:cs="楷体_GB2312"/>
          <w:kern w:val="0"/>
          <w:sz w:val="28"/>
          <w:szCs w:val="28"/>
        </w:rPr>
        <w:t>13.38%</w:t>
      </w:r>
      <w:r w:rsidRPr="00123CB5">
        <w:rPr>
          <w:rFonts w:ascii="楷体_GB2312" w:eastAsia="楷体_GB2312" w:cs="楷体_GB2312" w:hint="eastAsia"/>
          <w:kern w:val="0"/>
          <w:sz w:val="28"/>
          <w:szCs w:val="28"/>
        </w:rPr>
        <w:t>。</w:t>
      </w:r>
      <w:r w:rsidR="00572479" w:rsidRPr="00572479">
        <w:rPr>
          <w:rFonts w:ascii="楷体_GB2312" w:eastAsia="楷体_GB2312" w:cs="楷体_GB2312"/>
          <w:kern w:val="0"/>
          <w:sz w:val="28"/>
          <w:szCs w:val="28"/>
        </w:rPr>
        <w:t>2015</w:t>
      </w:r>
      <w:r w:rsidR="00572479" w:rsidRPr="00572479">
        <w:rPr>
          <w:rFonts w:ascii="楷体_GB2312" w:eastAsia="楷体_GB2312" w:cs="楷体_GB2312" w:hint="eastAsia"/>
          <w:kern w:val="0"/>
          <w:sz w:val="28"/>
          <w:szCs w:val="28"/>
        </w:rPr>
        <w:t>年度公务用车购置及运行费支出决算数大于预算数的主要原因：承担了省、市交办的梅州</w:t>
      </w:r>
      <w:r w:rsidR="005B7B8F">
        <w:rPr>
          <w:rFonts w:ascii="楷体_GB2312" w:eastAsia="楷体_GB2312" w:cs="楷体_GB2312" w:hint="eastAsia"/>
          <w:kern w:val="0"/>
          <w:sz w:val="28"/>
          <w:szCs w:val="28"/>
        </w:rPr>
        <w:t>市</w:t>
      </w:r>
      <w:r w:rsidR="00572479" w:rsidRPr="00572479">
        <w:rPr>
          <w:rFonts w:ascii="楷体_GB2312" w:eastAsia="楷体_GB2312" w:cs="楷体_GB2312" w:hint="eastAsia"/>
          <w:kern w:val="0"/>
          <w:sz w:val="28"/>
          <w:szCs w:val="28"/>
        </w:rPr>
        <w:t>历史建筑普查，配合省城乡规划督察员</w:t>
      </w:r>
      <w:r w:rsidR="007C55D2" w:rsidRPr="00572479">
        <w:rPr>
          <w:rFonts w:ascii="楷体_GB2312" w:eastAsia="楷体_GB2312" w:cs="楷体_GB2312" w:hint="eastAsia"/>
          <w:kern w:val="0"/>
          <w:sz w:val="28"/>
          <w:szCs w:val="28"/>
        </w:rPr>
        <w:t>开展</w:t>
      </w:r>
      <w:r w:rsidR="00572479" w:rsidRPr="00572479">
        <w:rPr>
          <w:rFonts w:ascii="楷体_GB2312" w:eastAsia="楷体_GB2312" w:cs="楷体_GB2312" w:hint="eastAsia"/>
          <w:kern w:val="0"/>
          <w:sz w:val="28"/>
          <w:szCs w:val="28"/>
        </w:rPr>
        <w:t>梅州</w:t>
      </w:r>
      <w:r w:rsidR="00024CC5">
        <w:rPr>
          <w:rFonts w:ascii="楷体_GB2312" w:eastAsia="楷体_GB2312" w:cs="楷体_GB2312" w:hint="eastAsia"/>
          <w:kern w:val="0"/>
          <w:sz w:val="28"/>
          <w:szCs w:val="28"/>
        </w:rPr>
        <w:t>全</w:t>
      </w:r>
      <w:r w:rsidR="005B7B8F">
        <w:rPr>
          <w:rFonts w:ascii="楷体_GB2312" w:eastAsia="楷体_GB2312" w:cs="楷体_GB2312" w:hint="eastAsia"/>
          <w:kern w:val="0"/>
          <w:sz w:val="28"/>
          <w:szCs w:val="28"/>
        </w:rPr>
        <w:t>市</w:t>
      </w:r>
      <w:r w:rsidR="00572479" w:rsidRPr="00572479">
        <w:rPr>
          <w:rFonts w:ascii="楷体_GB2312" w:eastAsia="楷体_GB2312" w:cs="楷体_GB2312" w:hint="eastAsia"/>
          <w:kern w:val="0"/>
          <w:sz w:val="28"/>
          <w:szCs w:val="28"/>
        </w:rPr>
        <w:t>历史建筑专项督察</w:t>
      </w:r>
      <w:r w:rsidR="00024CC5">
        <w:rPr>
          <w:rFonts w:ascii="楷体_GB2312" w:eastAsia="楷体_GB2312" w:cs="楷体_GB2312" w:hint="eastAsia"/>
          <w:kern w:val="0"/>
          <w:sz w:val="28"/>
          <w:szCs w:val="28"/>
        </w:rPr>
        <w:t>，</w:t>
      </w:r>
      <w:r w:rsidR="007B40C5">
        <w:rPr>
          <w:rFonts w:ascii="楷体_GB2312" w:eastAsia="楷体_GB2312" w:cs="楷体_GB2312" w:hint="eastAsia"/>
          <w:kern w:val="0"/>
          <w:sz w:val="28"/>
          <w:szCs w:val="28"/>
        </w:rPr>
        <w:t>对</w:t>
      </w:r>
      <w:r w:rsidR="00572479" w:rsidRPr="00572479">
        <w:rPr>
          <w:rFonts w:ascii="楷体_GB2312" w:eastAsia="楷体_GB2312" w:cs="楷体_GB2312" w:hint="eastAsia"/>
          <w:kern w:val="0"/>
          <w:sz w:val="28"/>
          <w:szCs w:val="28"/>
        </w:rPr>
        <w:t>梅州</w:t>
      </w:r>
      <w:r w:rsidR="007B40C5">
        <w:rPr>
          <w:rFonts w:ascii="楷体_GB2312" w:eastAsia="楷体_GB2312" w:cs="楷体_GB2312" w:hint="eastAsia"/>
          <w:kern w:val="0"/>
          <w:sz w:val="28"/>
          <w:szCs w:val="28"/>
        </w:rPr>
        <w:t>全</w:t>
      </w:r>
      <w:r w:rsidR="00572479" w:rsidRPr="00572479">
        <w:rPr>
          <w:rFonts w:ascii="楷体_GB2312" w:eastAsia="楷体_GB2312" w:cs="楷体_GB2312" w:hint="eastAsia"/>
          <w:kern w:val="0"/>
          <w:sz w:val="28"/>
          <w:szCs w:val="28"/>
        </w:rPr>
        <w:t>市中国传统村落保护发展进行实地调研等专项工作，因此，增加了公车出行，相应增大公车运行费用；公务接待费支出决算数小于预算</w:t>
      </w:r>
      <w:proofErr w:type="gramStart"/>
      <w:r w:rsidR="00572479" w:rsidRPr="00572479">
        <w:rPr>
          <w:rFonts w:ascii="楷体_GB2312" w:eastAsia="楷体_GB2312" w:cs="楷体_GB2312" w:hint="eastAsia"/>
          <w:kern w:val="0"/>
          <w:sz w:val="28"/>
          <w:szCs w:val="28"/>
        </w:rPr>
        <w:t>数主要</w:t>
      </w:r>
      <w:proofErr w:type="gramEnd"/>
      <w:r w:rsidR="00572479" w:rsidRPr="00572479">
        <w:rPr>
          <w:rFonts w:ascii="楷体_GB2312" w:eastAsia="楷体_GB2312" w:cs="楷体_GB2312" w:hint="eastAsia"/>
          <w:kern w:val="0"/>
          <w:sz w:val="28"/>
          <w:szCs w:val="28"/>
        </w:rPr>
        <w:t>原因是认真贯彻落实中央“八项规定”精神和厉行节约要求，进一步从严控制公务接待开支</w:t>
      </w:r>
      <w:r w:rsidRPr="00123CB5">
        <w:rPr>
          <w:rFonts w:ascii="楷体_GB2312" w:eastAsia="楷体_GB2312" w:cs="楷体_GB2312" w:hint="eastAsia"/>
          <w:kern w:val="0"/>
          <w:sz w:val="28"/>
          <w:szCs w:val="28"/>
        </w:rPr>
        <w:t>；</w:t>
      </w:r>
      <w:r w:rsidR="00572479" w:rsidRPr="00572479">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年度“三公”经费一般公共预算财政拨款支出决算数比</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年减少</w:t>
      </w:r>
      <w:r w:rsidRPr="00123CB5">
        <w:rPr>
          <w:rFonts w:ascii="楷体_GB2312" w:eastAsia="楷体_GB2312" w:cs="楷体_GB2312"/>
          <w:kern w:val="0"/>
          <w:sz w:val="28"/>
          <w:szCs w:val="28"/>
        </w:rPr>
        <w:t>23.99</w:t>
      </w:r>
      <w:r w:rsidRPr="00123CB5">
        <w:rPr>
          <w:rFonts w:ascii="楷体_GB2312" w:eastAsia="楷体_GB2312" w:cs="楷体_GB2312" w:hint="eastAsia"/>
          <w:kern w:val="0"/>
          <w:sz w:val="28"/>
          <w:szCs w:val="28"/>
        </w:rPr>
        <w:t>万元，降低</w:t>
      </w:r>
      <w:r w:rsidRPr="00123CB5">
        <w:rPr>
          <w:rFonts w:ascii="楷体_GB2312" w:eastAsia="楷体_GB2312" w:cs="楷体_GB2312"/>
          <w:kern w:val="0"/>
          <w:sz w:val="28"/>
          <w:szCs w:val="28"/>
        </w:rPr>
        <w:t>64.32%</w:t>
      </w:r>
      <w:r w:rsidRPr="00123CB5">
        <w:rPr>
          <w:rFonts w:ascii="楷体_GB2312" w:eastAsia="楷体_GB2312" w:cs="楷体_GB2312" w:hint="eastAsia"/>
          <w:kern w:val="0"/>
          <w:sz w:val="28"/>
          <w:szCs w:val="28"/>
        </w:rPr>
        <w:t>，其中：因公出国（境）费支出决算为</w:t>
      </w:r>
      <w:r w:rsidRPr="00123CB5">
        <w:rPr>
          <w:rFonts w:ascii="楷体_GB2312" w:eastAsia="楷体_GB2312" w:cs="楷体_GB2312"/>
          <w:kern w:val="0"/>
          <w:sz w:val="28"/>
          <w:szCs w:val="28"/>
        </w:rPr>
        <w:t>0</w:t>
      </w:r>
      <w:r w:rsidRPr="00123CB5">
        <w:rPr>
          <w:rFonts w:ascii="楷体_GB2312" w:eastAsia="楷体_GB2312" w:cs="楷体_GB2312" w:hint="eastAsia"/>
          <w:kern w:val="0"/>
          <w:sz w:val="28"/>
          <w:szCs w:val="28"/>
        </w:rPr>
        <w:t>万元，同比无增减；公务用车购置及运行费支出决算减少</w:t>
      </w:r>
      <w:r w:rsidRPr="00123CB5">
        <w:rPr>
          <w:rFonts w:ascii="楷体_GB2312" w:eastAsia="楷体_GB2312" w:cs="楷体_GB2312"/>
          <w:kern w:val="0"/>
          <w:sz w:val="28"/>
          <w:szCs w:val="28"/>
        </w:rPr>
        <w:t>15.61</w:t>
      </w:r>
      <w:r w:rsidRPr="00123CB5">
        <w:rPr>
          <w:rFonts w:ascii="楷体_GB2312" w:eastAsia="楷体_GB2312" w:cs="楷体_GB2312" w:hint="eastAsia"/>
          <w:kern w:val="0"/>
          <w:sz w:val="28"/>
          <w:szCs w:val="28"/>
        </w:rPr>
        <w:t>万元，降低</w:t>
      </w:r>
      <w:r w:rsidRPr="00123CB5">
        <w:rPr>
          <w:rFonts w:ascii="楷体_GB2312" w:eastAsia="楷体_GB2312" w:cs="楷体_GB2312"/>
          <w:kern w:val="0"/>
          <w:sz w:val="28"/>
          <w:szCs w:val="28"/>
        </w:rPr>
        <w:t>59.79%</w:t>
      </w:r>
      <w:r w:rsidRPr="00123CB5">
        <w:rPr>
          <w:rFonts w:ascii="楷体_GB2312" w:eastAsia="楷体_GB2312" w:cs="楷体_GB2312" w:hint="eastAsia"/>
          <w:kern w:val="0"/>
          <w:sz w:val="28"/>
          <w:szCs w:val="28"/>
        </w:rPr>
        <w:t>；公务接待费支出决算减少</w:t>
      </w:r>
      <w:r w:rsidRPr="00123CB5">
        <w:rPr>
          <w:rFonts w:ascii="楷体_GB2312" w:eastAsia="楷体_GB2312" w:cs="楷体_GB2312"/>
          <w:kern w:val="0"/>
          <w:sz w:val="28"/>
          <w:szCs w:val="28"/>
        </w:rPr>
        <w:t>8.38</w:t>
      </w:r>
      <w:r w:rsidRPr="00123CB5">
        <w:rPr>
          <w:rFonts w:ascii="楷体_GB2312" w:eastAsia="楷体_GB2312" w:cs="楷体_GB2312" w:hint="eastAsia"/>
          <w:kern w:val="0"/>
          <w:sz w:val="28"/>
          <w:szCs w:val="28"/>
        </w:rPr>
        <w:t>万元，降低</w:t>
      </w:r>
      <w:r w:rsidRPr="00123CB5">
        <w:rPr>
          <w:rFonts w:ascii="楷体_GB2312" w:eastAsia="楷体_GB2312" w:cs="楷体_GB2312"/>
          <w:kern w:val="0"/>
          <w:sz w:val="28"/>
          <w:szCs w:val="28"/>
        </w:rPr>
        <w:t>74.89%</w:t>
      </w:r>
      <w:r w:rsidRPr="00123CB5">
        <w:rPr>
          <w:rFonts w:ascii="楷体_GB2312" w:eastAsia="楷体_GB2312" w:cs="楷体_GB2312" w:hint="eastAsia"/>
          <w:kern w:val="0"/>
          <w:sz w:val="28"/>
          <w:szCs w:val="28"/>
        </w:rPr>
        <w:t>。公务用车购置及运行费支出决算减少的主要原因是贯彻落实中央和国家机关公务用车制度改革精神，公务用车数量减少或部分公务用车停驶。公务接待费支出决算减少的主要原因是认真贯彻落实中央“八项规定”精神和厉行节约要求，进一步从严控制公务接待开支。</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（二）一般公共预算财政拨款“三公”经费支出决算具体情况说明。</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年度“三公”经费财政拨款支出决算中，因公出国（境）费支出决算为</w:t>
      </w:r>
      <w:r w:rsidRPr="00123CB5">
        <w:rPr>
          <w:rFonts w:ascii="楷体_GB2312" w:eastAsia="楷体_GB2312" w:cs="楷体_GB2312"/>
          <w:kern w:val="0"/>
          <w:sz w:val="28"/>
          <w:szCs w:val="28"/>
        </w:rPr>
        <w:t>0</w:t>
      </w:r>
      <w:r w:rsidRPr="00123CB5">
        <w:rPr>
          <w:rFonts w:ascii="楷体_GB2312" w:eastAsia="楷体_GB2312" w:cs="楷体_GB2312" w:hint="eastAsia"/>
          <w:kern w:val="0"/>
          <w:sz w:val="28"/>
          <w:szCs w:val="28"/>
        </w:rPr>
        <w:t>；公务用车购置及运行费支出决算</w:t>
      </w:r>
      <w:r w:rsidRPr="00123CB5">
        <w:rPr>
          <w:rFonts w:ascii="楷体_GB2312" w:eastAsia="楷体_GB2312" w:cs="楷体_GB2312"/>
          <w:kern w:val="0"/>
          <w:sz w:val="28"/>
          <w:szCs w:val="28"/>
        </w:rPr>
        <w:t>10.5</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78.89%</w:t>
      </w:r>
      <w:r w:rsidRPr="00123CB5">
        <w:rPr>
          <w:rFonts w:ascii="楷体_GB2312" w:eastAsia="楷体_GB2312" w:cs="楷体_GB2312" w:hint="eastAsia"/>
          <w:kern w:val="0"/>
          <w:sz w:val="28"/>
          <w:szCs w:val="28"/>
        </w:rPr>
        <w:t>；公务接待费支出决算</w:t>
      </w:r>
      <w:r w:rsidRPr="00123CB5">
        <w:rPr>
          <w:rFonts w:ascii="楷体_GB2312" w:eastAsia="楷体_GB2312" w:cs="楷体_GB2312"/>
          <w:kern w:val="0"/>
          <w:sz w:val="28"/>
          <w:szCs w:val="28"/>
        </w:rPr>
        <w:t>2.81</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21.11%</w:t>
      </w:r>
      <w:r w:rsidRPr="00123CB5">
        <w:rPr>
          <w:rFonts w:ascii="楷体_GB2312" w:eastAsia="楷体_GB2312" w:cs="楷体_GB2312" w:hint="eastAsia"/>
          <w:kern w:val="0"/>
          <w:sz w:val="28"/>
          <w:szCs w:val="28"/>
        </w:rPr>
        <w:t>。具体情况如下：</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1.</w:t>
      </w:r>
      <w:r w:rsidRPr="00123CB5">
        <w:rPr>
          <w:rFonts w:ascii="楷体_GB2312" w:eastAsia="楷体_GB2312" w:cs="楷体_GB2312" w:hint="eastAsia"/>
          <w:kern w:val="0"/>
          <w:sz w:val="28"/>
          <w:szCs w:val="28"/>
        </w:rPr>
        <w:t>公务用车购置及运行费支出</w:t>
      </w:r>
      <w:r w:rsidRPr="00123CB5">
        <w:rPr>
          <w:rFonts w:ascii="楷体_GB2312" w:eastAsia="楷体_GB2312" w:cs="楷体_GB2312"/>
          <w:kern w:val="0"/>
          <w:sz w:val="28"/>
          <w:szCs w:val="28"/>
        </w:rPr>
        <w:t>10.5</w:t>
      </w:r>
      <w:r w:rsidRPr="00123CB5">
        <w:rPr>
          <w:rFonts w:ascii="楷体_GB2312" w:eastAsia="楷体_GB2312" w:cs="楷体_GB2312" w:hint="eastAsia"/>
          <w:kern w:val="0"/>
          <w:sz w:val="28"/>
          <w:szCs w:val="28"/>
        </w:rPr>
        <w:t>万元。其中：公务用车购置支出为</w:t>
      </w:r>
      <w:r w:rsidRPr="00123CB5">
        <w:rPr>
          <w:rFonts w:ascii="楷体_GB2312" w:eastAsia="楷体_GB2312" w:cs="楷体_GB2312"/>
          <w:kern w:val="0"/>
          <w:sz w:val="28"/>
          <w:szCs w:val="28"/>
        </w:rPr>
        <w:t>0</w:t>
      </w:r>
      <w:r w:rsidRPr="003E0B7B">
        <w:rPr>
          <w:rFonts w:ascii="楷体_GB2312" w:eastAsia="楷体_GB2312" w:cs="楷体_GB2312" w:hint="eastAsia"/>
          <w:kern w:val="0"/>
          <w:sz w:val="28"/>
          <w:szCs w:val="28"/>
        </w:rPr>
        <w:t>万元</w:t>
      </w:r>
      <w:r w:rsidRPr="00123CB5">
        <w:rPr>
          <w:rFonts w:ascii="楷体_GB2312" w:eastAsia="楷体_GB2312" w:cs="楷体_GB2312" w:hint="eastAsia"/>
          <w:kern w:val="0"/>
          <w:sz w:val="28"/>
          <w:szCs w:val="28"/>
        </w:rPr>
        <w:t>。公务用车运行支出</w:t>
      </w:r>
      <w:r w:rsidRPr="00123CB5">
        <w:rPr>
          <w:rFonts w:ascii="楷体_GB2312" w:eastAsia="楷体_GB2312" w:cs="楷体_GB2312"/>
          <w:kern w:val="0"/>
          <w:sz w:val="28"/>
          <w:szCs w:val="28"/>
        </w:rPr>
        <w:t>10.5</w:t>
      </w:r>
      <w:r w:rsidRPr="00123CB5">
        <w:rPr>
          <w:rFonts w:ascii="楷体_GB2312" w:eastAsia="楷体_GB2312" w:cs="楷体_GB2312" w:hint="eastAsia"/>
          <w:kern w:val="0"/>
          <w:sz w:val="28"/>
          <w:szCs w:val="28"/>
        </w:rPr>
        <w:t>万元。主要用于机要文件交换、因公出行所需车辆燃料费、维修费、过桥过路费、保险费等。</w:t>
      </w: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w:t>
      </w:r>
      <w:r>
        <w:rPr>
          <w:rFonts w:ascii="楷体_GB2312" w:eastAsia="楷体_GB2312" w:cs="楷体_GB2312" w:hint="eastAsia"/>
          <w:kern w:val="0"/>
          <w:sz w:val="28"/>
          <w:szCs w:val="28"/>
        </w:rPr>
        <w:t>局本级及下属单位</w:t>
      </w:r>
      <w:r w:rsidRPr="00123CB5">
        <w:rPr>
          <w:rFonts w:ascii="楷体_GB2312" w:eastAsia="楷体_GB2312" w:cs="楷体_GB2312" w:hint="eastAsia"/>
          <w:kern w:val="0"/>
          <w:sz w:val="28"/>
          <w:szCs w:val="28"/>
        </w:rPr>
        <w:t>公务用车保有量</w:t>
      </w:r>
      <w:r w:rsidRPr="00123CB5">
        <w:rPr>
          <w:rFonts w:ascii="楷体_GB2312" w:eastAsia="楷体_GB2312" w:cs="楷体_GB2312"/>
          <w:kern w:val="0"/>
          <w:sz w:val="28"/>
          <w:szCs w:val="28"/>
        </w:rPr>
        <w:t>6</w:t>
      </w:r>
      <w:r w:rsidRPr="00123CB5">
        <w:rPr>
          <w:rFonts w:ascii="楷体_GB2312" w:eastAsia="楷体_GB2312" w:cs="楷体_GB2312" w:hint="eastAsia"/>
          <w:kern w:val="0"/>
          <w:sz w:val="28"/>
          <w:szCs w:val="28"/>
        </w:rPr>
        <w:t>辆。</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2.</w:t>
      </w:r>
      <w:r w:rsidRPr="00123CB5">
        <w:rPr>
          <w:rFonts w:ascii="楷体_GB2312" w:eastAsia="楷体_GB2312" w:cs="楷体_GB2312" w:hint="eastAsia"/>
          <w:kern w:val="0"/>
          <w:sz w:val="28"/>
          <w:szCs w:val="28"/>
        </w:rPr>
        <w:t>公务接待费支出</w:t>
      </w:r>
      <w:r w:rsidRPr="00123CB5">
        <w:rPr>
          <w:rFonts w:ascii="楷体_GB2312" w:eastAsia="楷体_GB2312" w:cs="楷体_GB2312"/>
          <w:kern w:val="0"/>
          <w:sz w:val="28"/>
          <w:szCs w:val="28"/>
        </w:rPr>
        <w:t>2.81</w:t>
      </w:r>
      <w:r w:rsidRPr="00123CB5">
        <w:rPr>
          <w:rFonts w:ascii="楷体_GB2312" w:eastAsia="楷体_GB2312" w:cs="楷体_GB2312" w:hint="eastAsia"/>
          <w:kern w:val="0"/>
          <w:sz w:val="28"/>
          <w:szCs w:val="28"/>
        </w:rPr>
        <w:t>万元。主要用于接待上级部门业务检查、兄弟市同行来梅开展工作考察调研、交流等，共接待</w:t>
      </w:r>
      <w:r w:rsidRPr="00123CB5">
        <w:rPr>
          <w:rFonts w:ascii="楷体_GB2312" w:eastAsia="楷体_GB2312" w:cs="楷体_GB2312"/>
          <w:kern w:val="0"/>
          <w:sz w:val="28"/>
          <w:szCs w:val="28"/>
        </w:rPr>
        <w:t>20</w:t>
      </w:r>
      <w:r w:rsidRPr="00123CB5">
        <w:rPr>
          <w:rFonts w:ascii="楷体_GB2312" w:eastAsia="楷体_GB2312" w:cs="楷体_GB2312" w:hint="eastAsia"/>
          <w:kern w:val="0"/>
          <w:sz w:val="28"/>
          <w:szCs w:val="28"/>
        </w:rPr>
        <w:t>批、</w:t>
      </w:r>
      <w:r w:rsidRPr="00123CB5">
        <w:rPr>
          <w:rFonts w:ascii="楷体_GB2312" w:eastAsia="楷体_GB2312" w:cs="楷体_GB2312"/>
          <w:kern w:val="0"/>
          <w:sz w:val="28"/>
          <w:szCs w:val="28"/>
        </w:rPr>
        <w:lastRenderedPageBreak/>
        <w:t>217</w:t>
      </w:r>
      <w:r w:rsidRPr="00123CB5">
        <w:rPr>
          <w:rFonts w:ascii="楷体_GB2312" w:eastAsia="楷体_GB2312" w:cs="楷体_GB2312" w:hint="eastAsia"/>
          <w:kern w:val="0"/>
          <w:sz w:val="28"/>
          <w:szCs w:val="28"/>
        </w:rPr>
        <w:t>人次。</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八、政府性基金预算财政拨款收入支出决算情况说明</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（一）政府性基金预算财政拨款收入支出决算总体情况。</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年政府性基金预算财政拨款年初结转和结余</w:t>
      </w:r>
      <w:r w:rsidRPr="00123CB5">
        <w:rPr>
          <w:rFonts w:ascii="楷体_GB2312" w:eastAsia="楷体_GB2312" w:cs="楷体_GB2312"/>
          <w:kern w:val="0"/>
          <w:sz w:val="28"/>
          <w:szCs w:val="28"/>
        </w:rPr>
        <w:t>5,497.71</w:t>
      </w:r>
      <w:r w:rsidRPr="00123CB5">
        <w:rPr>
          <w:rFonts w:ascii="楷体_GB2312" w:eastAsia="楷体_GB2312" w:cs="楷体_GB2312" w:hint="eastAsia"/>
          <w:kern w:val="0"/>
          <w:sz w:val="28"/>
          <w:szCs w:val="28"/>
        </w:rPr>
        <w:t>万元，本年收入</w:t>
      </w:r>
      <w:r w:rsidRPr="00123CB5">
        <w:rPr>
          <w:rFonts w:ascii="楷体_GB2312" w:eastAsia="楷体_GB2312" w:cs="楷体_GB2312"/>
          <w:kern w:val="0"/>
          <w:sz w:val="28"/>
          <w:szCs w:val="28"/>
        </w:rPr>
        <w:t>5,377.37</w:t>
      </w:r>
      <w:r w:rsidRPr="00123CB5">
        <w:rPr>
          <w:rFonts w:ascii="楷体_GB2312" w:eastAsia="楷体_GB2312" w:cs="楷体_GB2312" w:hint="eastAsia"/>
          <w:kern w:val="0"/>
          <w:sz w:val="28"/>
          <w:szCs w:val="28"/>
        </w:rPr>
        <w:t>万元，本年支出</w:t>
      </w:r>
      <w:r w:rsidRPr="00123CB5">
        <w:rPr>
          <w:rFonts w:ascii="楷体_GB2312" w:eastAsia="楷体_GB2312" w:cs="楷体_GB2312"/>
          <w:kern w:val="0"/>
          <w:sz w:val="28"/>
          <w:szCs w:val="28"/>
        </w:rPr>
        <w:t>3,140.90</w:t>
      </w:r>
      <w:r w:rsidRPr="00123CB5">
        <w:rPr>
          <w:rFonts w:ascii="楷体_GB2312" w:eastAsia="楷体_GB2312" w:cs="楷体_GB2312" w:hint="eastAsia"/>
          <w:kern w:val="0"/>
          <w:sz w:val="28"/>
          <w:szCs w:val="28"/>
        </w:rPr>
        <w:t>万元，年末结转和结余</w:t>
      </w:r>
      <w:r w:rsidRPr="00123CB5">
        <w:rPr>
          <w:rFonts w:ascii="楷体_GB2312" w:eastAsia="楷体_GB2312" w:cs="楷体_GB2312"/>
          <w:kern w:val="0"/>
          <w:sz w:val="28"/>
          <w:szCs w:val="28"/>
        </w:rPr>
        <w:t>7,734.18</w:t>
      </w:r>
      <w:r w:rsidRPr="00123CB5">
        <w:rPr>
          <w:rFonts w:ascii="楷体_GB2312" w:eastAsia="楷体_GB2312" w:cs="楷体_GB2312" w:hint="eastAsia"/>
          <w:kern w:val="0"/>
          <w:sz w:val="28"/>
          <w:szCs w:val="28"/>
        </w:rPr>
        <w:t>万元。</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（二）政府性基金预算财政拨款支出决算具体情况。</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1</w:t>
      </w:r>
      <w:r w:rsidRPr="00123CB5">
        <w:rPr>
          <w:rFonts w:ascii="楷体_GB2312" w:eastAsia="楷体_GB2312" w:cs="楷体_GB2312" w:hint="eastAsia"/>
          <w:kern w:val="0"/>
          <w:sz w:val="28"/>
          <w:szCs w:val="28"/>
        </w:rPr>
        <w:t>．城乡社区支出（类）城市基础设施配套费及对应专项债务收入安排的支出（款）城市公共设施（项）</w:t>
      </w:r>
      <w:r w:rsidRPr="00123CB5">
        <w:rPr>
          <w:rFonts w:ascii="楷体_GB2312" w:eastAsia="楷体_GB2312" w:cs="楷体_GB2312"/>
          <w:kern w:val="0"/>
          <w:sz w:val="28"/>
          <w:szCs w:val="28"/>
        </w:rPr>
        <w:t>442.56</w:t>
      </w:r>
      <w:r w:rsidRPr="00123CB5">
        <w:rPr>
          <w:rFonts w:ascii="楷体_GB2312" w:eastAsia="楷体_GB2312" w:cs="楷体_GB2312" w:hint="eastAsia"/>
          <w:kern w:val="0"/>
          <w:sz w:val="28"/>
          <w:szCs w:val="28"/>
        </w:rPr>
        <w:t>万元，主要用于城乡规划编制和管理等方面项目支出。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2</w:t>
      </w:r>
      <w:r w:rsidRPr="00123CB5">
        <w:rPr>
          <w:rFonts w:ascii="楷体_GB2312" w:eastAsia="楷体_GB2312" w:cs="楷体_GB2312" w:hint="eastAsia"/>
          <w:kern w:val="0"/>
          <w:sz w:val="28"/>
          <w:szCs w:val="28"/>
        </w:rPr>
        <w:t>．城乡社区支出（类）城市基础设施配套费及对应专项债务收入安排的支出（款）其他城市基础设施配套</w:t>
      </w:r>
      <w:proofErr w:type="gramStart"/>
      <w:r w:rsidRPr="00123CB5">
        <w:rPr>
          <w:rFonts w:ascii="楷体_GB2312" w:eastAsia="楷体_GB2312" w:cs="楷体_GB2312" w:hint="eastAsia"/>
          <w:kern w:val="0"/>
          <w:sz w:val="28"/>
          <w:szCs w:val="28"/>
        </w:rPr>
        <w:t>费安排</w:t>
      </w:r>
      <w:proofErr w:type="gramEnd"/>
      <w:r w:rsidRPr="00123CB5">
        <w:rPr>
          <w:rFonts w:ascii="楷体_GB2312" w:eastAsia="楷体_GB2312" w:cs="楷体_GB2312" w:hint="eastAsia"/>
          <w:kern w:val="0"/>
          <w:sz w:val="28"/>
          <w:szCs w:val="28"/>
        </w:rPr>
        <w:t>的支出（项）</w:t>
      </w:r>
      <w:r w:rsidRPr="00123CB5">
        <w:rPr>
          <w:rFonts w:ascii="楷体_GB2312" w:eastAsia="楷体_GB2312" w:cs="楷体_GB2312"/>
          <w:kern w:val="0"/>
          <w:sz w:val="28"/>
          <w:szCs w:val="28"/>
        </w:rPr>
        <w:t>2,698.33</w:t>
      </w:r>
      <w:r w:rsidRPr="00123CB5">
        <w:rPr>
          <w:rFonts w:ascii="楷体_GB2312" w:eastAsia="楷体_GB2312" w:cs="楷体_GB2312" w:hint="eastAsia"/>
          <w:kern w:val="0"/>
          <w:sz w:val="28"/>
          <w:szCs w:val="28"/>
        </w:rPr>
        <w:t>万元，主要用于城乡规划编制和管理等方面项目支出。</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九、其他重要事项的情况说明</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（一）机关运行经费支出情况。</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年机关运行经费支出</w:t>
      </w:r>
      <w:r w:rsidRPr="00123CB5">
        <w:rPr>
          <w:rFonts w:ascii="楷体_GB2312" w:eastAsia="楷体_GB2312" w:cs="楷体_GB2312"/>
          <w:kern w:val="0"/>
          <w:sz w:val="28"/>
          <w:szCs w:val="28"/>
        </w:rPr>
        <w:t xml:space="preserve">93.60 </w:t>
      </w:r>
      <w:r w:rsidRPr="00123CB5">
        <w:rPr>
          <w:rFonts w:ascii="楷体_GB2312" w:eastAsia="楷体_GB2312" w:cs="楷体_GB2312" w:hint="eastAsia"/>
          <w:kern w:val="0"/>
          <w:sz w:val="28"/>
          <w:szCs w:val="28"/>
        </w:rPr>
        <w:t>万元，比</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年增加</w:t>
      </w:r>
      <w:r w:rsidRPr="00123CB5">
        <w:rPr>
          <w:rFonts w:ascii="楷体_GB2312" w:eastAsia="楷体_GB2312" w:cs="楷体_GB2312"/>
          <w:kern w:val="0"/>
          <w:sz w:val="28"/>
          <w:szCs w:val="28"/>
        </w:rPr>
        <w:t>55.36</w:t>
      </w:r>
      <w:r w:rsidRPr="00123CB5">
        <w:rPr>
          <w:rFonts w:ascii="楷体_GB2312" w:eastAsia="楷体_GB2312" w:cs="楷体_GB2312" w:hint="eastAsia"/>
          <w:kern w:val="0"/>
          <w:sz w:val="28"/>
          <w:szCs w:val="28"/>
        </w:rPr>
        <w:t>万元，增长</w:t>
      </w:r>
      <w:r w:rsidRPr="00123CB5">
        <w:rPr>
          <w:rFonts w:ascii="楷体_GB2312" w:eastAsia="楷体_GB2312" w:cs="楷体_GB2312"/>
          <w:kern w:val="0"/>
          <w:sz w:val="28"/>
          <w:szCs w:val="28"/>
        </w:rPr>
        <w:t>144.77%</w:t>
      </w:r>
      <w:r w:rsidRPr="00123CB5">
        <w:rPr>
          <w:rFonts w:ascii="楷体_GB2312" w:eastAsia="楷体_GB2312" w:cs="楷体_GB2312" w:hint="eastAsia"/>
          <w:kern w:val="0"/>
          <w:sz w:val="28"/>
          <w:szCs w:val="28"/>
        </w:rPr>
        <w:t>。主要原因：一是</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年一般公共预算财政拨款安排的机关运行经费不足；二是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年人均日常公用经费标准提高以及办公费用价格上涨等。</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（二）政府采购支出情况。</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年政府采购支出总额</w:t>
      </w:r>
      <w:r w:rsidRPr="00123CB5">
        <w:rPr>
          <w:rFonts w:ascii="楷体_GB2312" w:eastAsia="楷体_GB2312" w:cs="楷体_GB2312"/>
          <w:kern w:val="0"/>
          <w:sz w:val="28"/>
          <w:szCs w:val="28"/>
        </w:rPr>
        <w:t>967.18</w:t>
      </w:r>
      <w:r w:rsidRPr="00123CB5">
        <w:rPr>
          <w:rFonts w:ascii="楷体_GB2312" w:eastAsia="楷体_GB2312" w:cs="楷体_GB2312" w:hint="eastAsia"/>
          <w:kern w:val="0"/>
          <w:sz w:val="28"/>
          <w:szCs w:val="28"/>
        </w:rPr>
        <w:t>万元，其中：政府采购货物支出</w:t>
      </w:r>
      <w:r w:rsidRPr="00123CB5">
        <w:rPr>
          <w:rFonts w:ascii="楷体_GB2312" w:eastAsia="楷体_GB2312" w:cs="楷体_GB2312"/>
          <w:kern w:val="0"/>
          <w:sz w:val="28"/>
          <w:szCs w:val="28"/>
        </w:rPr>
        <w:t>102.64</w:t>
      </w:r>
      <w:r w:rsidRPr="00123CB5">
        <w:rPr>
          <w:rFonts w:ascii="楷体_GB2312" w:eastAsia="楷体_GB2312" w:cs="楷体_GB2312" w:hint="eastAsia"/>
          <w:kern w:val="0"/>
          <w:sz w:val="28"/>
          <w:szCs w:val="28"/>
        </w:rPr>
        <w:t>万元、政府采购工程支出</w:t>
      </w:r>
      <w:r w:rsidRPr="00123CB5">
        <w:rPr>
          <w:rFonts w:ascii="楷体_GB2312" w:eastAsia="楷体_GB2312" w:cs="楷体_GB2312"/>
          <w:kern w:val="0"/>
          <w:sz w:val="28"/>
          <w:szCs w:val="28"/>
        </w:rPr>
        <w:t>160.25</w:t>
      </w:r>
      <w:r w:rsidRPr="00123CB5">
        <w:rPr>
          <w:rFonts w:ascii="楷体_GB2312" w:eastAsia="楷体_GB2312" w:cs="楷体_GB2312" w:hint="eastAsia"/>
          <w:kern w:val="0"/>
          <w:sz w:val="28"/>
          <w:szCs w:val="28"/>
        </w:rPr>
        <w:t>万元、政府采购服务支出</w:t>
      </w:r>
      <w:r w:rsidRPr="00123CB5">
        <w:rPr>
          <w:rFonts w:ascii="楷体_GB2312" w:eastAsia="楷体_GB2312" w:cs="楷体_GB2312"/>
          <w:kern w:val="0"/>
          <w:sz w:val="28"/>
          <w:szCs w:val="28"/>
        </w:rPr>
        <w:t>704.29</w:t>
      </w:r>
      <w:r w:rsidRPr="00123CB5">
        <w:rPr>
          <w:rFonts w:ascii="楷体_GB2312" w:eastAsia="楷体_GB2312" w:cs="楷体_GB2312" w:hint="eastAsia"/>
          <w:kern w:val="0"/>
          <w:sz w:val="28"/>
          <w:szCs w:val="28"/>
        </w:rPr>
        <w:t>万元。</w:t>
      </w:r>
    </w:p>
    <w:p w:rsidR="00B129FF" w:rsidRPr="00A42A0C"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（三）国有资产占用情况</w:t>
      </w:r>
      <w:r>
        <w:rPr>
          <w:rFonts w:ascii="楷体_GB2312" w:eastAsia="楷体_GB2312" w:cs="楷体_GB2312" w:hint="eastAsia"/>
          <w:b/>
          <w:bCs/>
          <w:kern w:val="0"/>
          <w:sz w:val="28"/>
          <w:szCs w:val="28"/>
        </w:rPr>
        <w:t>。</w:t>
      </w: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lastRenderedPageBreak/>
        <w:t>截至</w:t>
      </w: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w:t>
      </w:r>
      <w:r w:rsidRPr="00123CB5">
        <w:rPr>
          <w:rFonts w:ascii="楷体_GB2312" w:eastAsia="楷体_GB2312" w:cs="楷体_GB2312"/>
          <w:kern w:val="0"/>
          <w:sz w:val="28"/>
          <w:szCs w:val="28"/>
        </w:rPr>
        <w:t xml:space="preserve">12 </w:t>
      </w:r>
      <w:r w:rsidRPr="00123CB5">
        <w:rPr>
          <w:rFonts w:ascii="楷体_GB2312" w:eastAsia="楷体_GB2312" w:cs="楷体_GB2312" w:hint="eastAsia"/>
          <w:kern w:val="0"/>
          <w:sz w:val="28"/>
          <w:szCs w:val="28"/>
        </w:rPr>
        <w:t>月</w:t>
      </w:r>
      <w:r w:rsidRPr="00123CB5">
        <w:rPr>
          <w:rFonts w:ascii="楷体_GB2312" w:eastAsia="楷体_GB2312" w:cs="楷体_GB2312"/>
          <w:kern w:val="0"/>
          <w:sz w:val="28"/>
          <w:szCs w:val="28"/>
        </w:rPr>
        <w:t xml:space="preserve">31 </w:t>
      </w:r>
      <w:r w:rsidRPr="00123CB5">
        <w:rPr>
          <w:rFonts w:ascii="楷体_GB2312" w:eastAsia="楷体_GB2312" w:cs="楷体_GB2312" w:hint="eastAsia"/>
          <w:kern w:val="0"/>
          <w:sz w:val="28"/>
          <w:szCs w:val="28"/>
        </w:rPr>
        <w:t>日，共有车辆</w:t>
      </w:r>
      <w:r w:rsidRPr="00123CB5">
        <w:rPr>
          <w:rFonts w:ascii="楷体_GB2312" w:eastAsia="楷体_GB2312" w:cs="楷体_GB2312"/>
          <w:kern w:val="0"/>
          <w:sz w:val="28"/>
          <w:szCs w:val="28"/>
        </w:rPr>
        <w:t xml:space="preserve">8 </w:t>
      </w:r>
      <w:r w:rsidRPr="00123CB5">
        <w:rPr>
          <w:rFonts w:ascii="楷体_GB2312" w:eastAsia="楷体_GB2312" w:cs="楷体_GB2312" w:hint="eastAsia"/>
          <w:kern w:val="0"/>
          <w:sz w:val="28"/>
          <w:szCs w:val="28"/>
        </w:rPr>
        <w:t>辆，其中，一般公务用车</w:t>
      </w:r>
      <w:r w:rsidRPr="00123CB5">
        <w:rPr>
          <w:rFonts w:ascii="楷体_GB2312" w:eastAsia="楷体_GB2312" w:cs="楷体_GB2312"/>
          <w:kern w:val="0"/>
          <w:sz w:val="28"/>
          <w:szCs w:val="28"/>
        </w:rPr>
        <w:t xml:space="preserve">6 </w:t>
      </w:r>
      <w:r w:rsidRPr="00123CB5">
        <w:rPr>
          <w:rFonts w:ascii="楷体_GB2312" w:eastAsia="楷体_GB2312" w:cs="楷体_GB2312" w:hint="eastAsia"/>
          <w:kern w:val="0"/>
          <w:sz w:val="28"/>
          <w:szCs w:val="28"/>
        </w:rPr>
        <w:t>辆、停驶车辆</w:t>
      </w:r>
      <w:r w:rsidRPr="00123CB5">
        <w:rPr>
          <w:rFonts w:ascii="楷体_GB2312" w:eastAsia="楷体_GB2312" w:cs="楷体_GB2312"/>
          <w:kern w:val="0"/>
          <w:sz w:val="28"/>
          <w:szCs w:val="28"/>
        </w:rPr>
        <w:t>2</w:t>
      </w:r>
      <w:r w:rsidRPr="00123CB5">
        <w:rPr>
          <w:rFonts w:ascii="楷体_GB2312" w:eastAsia="楷体_GB2312" w:cs="楷体_GB2312" w:hint="eastAsia"/>
          <w:kern w:val="0"/>
          <w:sz w:val="28"/>
          <w:szCs w:val="28"/>
        </w:rPr>
        <w:t>辆。单位价值</w:t>
      </w:r>
      <w:r w:rsidRPr="00123CB5">
        <w:rPr>
          <w:rFonts w:ascii="楷体_GB2312" w:eastAsia="楷体_GB2312" w:cs="楷体_GB2312"/>
          <w:kern w:val="0"/>
          <w:sz w:val="28"/>
          <w:szCs w:val="28"/>
        </w:rPr>
        <w:t>200</w:t>
      </w:r>
      <w:r w:rsidRPr="00123CB5">
        <w:rPr>
          <w:rFonts w:ascii="楷体_GB2312" w:eastAsia="楷体_GB2312" w:cs="楷体_GB2312" w:hint="eastAsia"/>
          <w:kern w:val="0"/>
          <w:sz w:val="28"/>
          <w:szCs w:val="28"/>
        </w:rPr>
        <w:t>万元以上大型设备</w:t>
      </w:r>
      <w:r w:rsidRPr="00123CB5">
        <w:rPr>
          <w:rFonts w:ascii="楷体_GB2312" w:eastAsia="楷体_GB2312" w:cs="楷体_GB2312"/>
          <w:kern w:val="0"/>
          <w:sz w:val="28"/>
          <w:szCs w:val="28"/>
        </w:rPr>
        <w:t>0</w:t>
      </w:r>
      <w:r w:rsidRPr="00123CB5">
        <w:rPr>
          <w:rFonts w:ascii="楷体_GB2312" w:eastAsia="楷体_GB2312" w:cs="楷体_GB2312" w:hint="eastAsia"/>
          <w:kern w:val="0"/>
          <w:sz w:val="28"/>
          <w:szCs w:val="28"/>
        </w:rPr>
        <w:t>台（套）。</w:t>
      </w:r>
    </w:p>
    <w:p w:rsidR="00B129FF" w:rsidRPr="00D176F9" w:rsidRDefault="00B129FF" w:rsidP="00572479">
      <w:pPr>
        <w:autoSpaceDE w:val="0"/>
        <w:autoSpaceDN w:val="0"/>
        <w:adjustRightInd w:val="0"/>
        <w:spacing w:line="520" w:lineRule="exact"/>
        <w:ind w:firstLineChars="200" w:firstLine="562"/>
        <w:rPr>
          <w:rFonts w:ascii="楷体_GB2312" w:eastAsia="楷体_GB2312" w:cs="Times New Roman"/>
          <w:b/>
          <w:bCs/>
          <w:kern w:val="0"/>
          <w:sz w:val="28"/>
          <w:szCs w:val="28"/>
        </w:rPr>
      </w:pPr>
      <w:r w:rsidRPr="00D176F9">
        <w:rPr>
          <w:rFonts w:ascii="楷体_GB2312" w:eastAsia="楷体_GB2312" w:cs="楷体_GB2312" w:hint="eastAsia"/>
          <w:b/>
          <w:bCs/>
          <w:kern w:val="0"/>
          <w:sz w:val="28"/>
          <w:szCs w:val="28"/>
        </w:rPr>
        <w:t>（四）预算绩效管理工作开展情况。</w:t>
      </w:r>
    </w:p>
    <w:p w:rsidR="00B129FF" w:rsidRPr="00D176F9"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D176F9">
        <w:rPr>
          <w:rFonts w:ascii="楷体_GB2312" w:eastAsia="楷体_GB2312" w:cs="楷体_GB2312"/>
          <w:kern w:val="0"/>
          <w:sz w:val="28"/>
          <w:szCs w:val="28"/>
        </w:rPr>
        <w:t>2015</w:t>
      </w:r>
      <w:r w:rsidRPr="00D176F9">
        <w:rPr>
          <w:rFonts w:ascii="楷体_GB2312" w:eastAsia="楷体_GB2312" w:cs="楷体_GB2312" w:hint="eastAsia"/>
          <w:kern w:val="0"/>
          <w:sz w:val="28"/>
          <w:szCs w:val="28"/>
        </w:rPr>
        <w:t>年无进行预算绩效评价。</w:t>
      </w: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p>
    <w:p w:rsidR="00B129FF" w:rsidRPr="00EF34A6" w:rsidRDefault="00B129FF" w:rsidP="00572479">
      <w:pPr>
        <w:autoSpaceDE w:val="0"/>
        <w:autoSpaceDN w:val="0"/>
        <w:adjustRightInd w:val="0"/>
        <w:spacing w:line="520" w:lineRule="exact"/>
        <w:ind w:firstLineChars="200" w:firstLine="883"/>
        <w:jc w:val="center"/>
        <w:rPr>
          <w:rFonts w:ascii="方正小标宋简体" w:eastAsia="方正小标宋简体" w:cs="Times New Roman"/>
          <w:b/>
          <w:bCs/>
          <w:kern w:val="0"/>
          <w:sz w:val="44"/>
          <w:szCs w:val="44"/>
        </w:rPr>
      </w:pPr>
      <w:r w:rsidRPr="00EF34A6">
        <w:rPr>
          <w:rFonts w:ascii="方正小标宋简体" w:eastAsia="方正小标宋简体" w:cs="方正小标宋简体" w:hint="eastAsia"/>
          <w:b/>
          <w:bCs/>
          <w:kern w:val="0"/>
          <w:sz w:val="44"/>
          <w:szCs w:val="44"/>
        </w:rPr>
        <w:t>第四部分</w:t>
      </w:r>
      <w:r w:rsidRPr="00EF34A6">
        <w:rPr>
          <w:rFonts w:ascii="方正小标宋简体" w:eastAsia="方正小标宋简体" w:cs="方正小标宋简体"/>
          <w:b/>
          <w:bCs/>
          <w:kern w:val="0"/>
          <w:sz w:val="44"/>
          <w:szCs w:val="44"/>
        </w:rPr>
        <w:t xml:space="preserve"> </w:t>
      </w:r>
      <w:r w:rsidRPr="000932E8">
        <w:rPr>
          <w:rFonts w:ascii="方正小标宋简体" w:eastAsia="方正小标宋简体" w:cs="方正小标宋简体" w:hint="eastAsia"/>
          <w:b/>
          <w:bCs/>
          <w:kern w:val="0"/>
          <w:sz w:val="44"/>
          <w:szCs w:val="44"/>
        </w:rPr>
        <w:t>名词解释</w:t>
      </w:r>
    </w:p>
    <w:p w:rsidR="00B129FF" w:rsidRPr="00123CB5" w:rsidRDefault="00B129FF" w:rsidP="00572479">
      <w:pPr>
        <w:autoSpaceDE w:val="0"/>
        <w:autoSpaceDN w:val="0"/>
        <w:adjustRightInd w:val="0"/>
        <w:spacing w:line="520" w:lineRule="exact"/>
        <w:ind w:firstLineChars="200" w:firstLine="560"/>
        <w:jc w:val="center"/>
        <w:rPr>
          <w:rFonts w:ascii="楷体_GB2312" w:eastAsia="楷体_GB2312" w:cs="Times New Roman"/>
          <w:kern w:val="0"/>
          <w:sz w:val="28"/>
          <w:szCs w:val="28"/>
        </w:rPr>
      </w:pP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一、财政拨款收入：指财政当年拨付的资金。</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二、其他收入：指除</w:t>
      </w:r>
      <w:r w:rsidRPr="00123CB5">
        <w:rPr>
          <w:rFonts w:ascii="楷体_GB2312" w:eastAsia="楷体_GB2312" w:cs="楷体_GB2312"/>
          <w:kern w:val="0"/>
          <w:sz w:val="28"/>
          <w:szCs w:val="28"/>
        </w:rPr>
        <w:t xml:space="preserve"> </w:t>
      </w:r>
      <w:r w:rsidRPr="00123CB5">
        <w:rPr>
          <w:rFonts w:ascii="楷体_GB2312" w:eastAsia="楷体_GB2312" w:cs="楷体_GB2312" w:hint="eastAsia"/>
          <w:kern w:val="0"/>
          <w:sz w:val="28"/>
          <w:szCs w:val="28"/>
        </w:rPr>
        <w:t>“财政拨款收入”、“事业收入”、“经营收入”等以外的收入。</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三、年初结转和结余：指以前年度尚未完成、结转到本年按有关规定继续使用的资金。</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四、社会保障和就业（类）行政事业单位离退休（款）归口管理的行政单位离退休（项）：指用于实行归口管理的行政单位离退休人员的支出。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五、社会保障和就业（类）行政事业单位离退休（款）事业单位离退休（项）：指用于实行归口管理的事业单位离退休人员的支出。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六、医疗卫生与计划生育支出（类）医疗保障（款）行政单位医疗（项）：指行政单位基本医疗保险缴费经费。</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七、医疗卫生与计划生育支出（类）医疗保障（款）事业单位医疗（项）：指事业单位基本医疗保险缴费经费。</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八、城乡社区支出（类）城乡社区管理事务（款）行政运行（项）：指行政单位用于保障机构正常运行、开展日常工作的</w:t>
      </w:r>
      <w:r w:rsidRPr="00123CB5">
        <w:rPr>
          <w:rFonts w:ascii="楷体_GB2312" w:eastAsia="楷体_GB2312" w:cs="楷体_GB2312" w:hint="eastAsia"/>
          <w:kern w:val="0"/>
          <w:sz w:val="28"/>
          <w:szCs w:val="28"/>
        </w:rPr>
        <w:lastRenderedPageBreak/>
        <w:t>基本支出。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九、城乡社区支出（类）城乡社区管理事务（款）一般行政管理事务（项）：指行政单位未单独设置项级科目的其他项目支出。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十、城乡社区支出（类）城乡社区管理事务（款）其他城乡社区管理事务支出（项）：指事业单位用于保障机构正常运行、开展日常工作的基本支出。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十一、城乡社区支出（类）城乡社区规划与管理（款）城乡社区规划与管理（项）：指城乡社区、名胜风景区、防灾减灾、历史名城规划制定与管理等方面的支出。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十二、住房保障（类）住房改革支出（款）住房公积金（项）：指行政事业单位按人力资源和社会保障部、财政部规定的基本工资和津贴补贴以及规定比例为职工缴纳的住房公积金。</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十三、城乡社区支出（类）城市基础设施配套费及对应专项债务收入安排的支出（款）城市公共设施（项）：</w:t>
      </w:r>
      <w:r w:rsidRPr="00123CB5">
        <w:rPr>
          <w:rFonts w:ascii="楷体_GB2312" w:eastAsia="楷体_GB2312" w:cs="楷体_GB2312"/>
          <w:kern w:val="0"/>
          <w:sz w:val="28"/>
          <w:szCs w:val="28"/>
        </w:rPr>
        <w:t xml:space="preserve"> </w:t>
      </w:r>
      <w:r w:rsidRPr="00123CB5">
        <w:rPr>
          <w:rFonts w:ascii="楷体_GB2312" w:eastAsia="楷体_GB2312" w:cs="楷体_GB2312" w:hint="eastAsia"/>
          <w:kern w:val="0"/>
          <w:sz w:val="28"/>
          <w:szCs w:val="28"/>
        </w:rPr>
        <w:t>指城市基础设施配套费用于公共设施维护、建设和管理方面的支出。</w:t>
      </w:r>
    </w:p>
    <w:p w:rsidR="00B129FF" w:rsidRPr="00123CB5" w:rsidRDefault="00B129FF" w:rsidP="00572479">
      <w:pPr>
        <w:autoSpaceDE w:val="0"/>
        <w:autoSpaceDN w:val="0"/>
        <w:adjustRightInd w:val="0"/>
        <w:spacing w:line="520" w:lineRule="exact"/>
        <w:ind w:firstLineChars="150" w:firstLine="420"/>
        <w:rPr>
          <w:rFonts w:ascii="楷体_GB2312" w:eastAsia="楷体_GB2312" w:cs="Times New Roman"/>
          <w:kern w:val="0"/>
          <w:sz w:val="28"/>
          <w:szCs w:val="28"/>
        </w:rPr>
      </w:pPr>
      <w:r w:rsidRPr="00123CB5">
        <w:rPr>
          <w:rFonts w:ascii="楷体_GB2312" w:eastAsia="楷体_GB2312" w:cs="楷体_GB2312" w:hint="eastAsia"/>
          <w:kern w:val="0"/>
          <w:sz w:val="28"/>
          <w:szCs w:val="28"/>
        </w:rPr>
        <w:t>十四、城乡社区支出（类）城市基础设施配套费及对应专项债务收入安排的支出（款）其他城市基础设施配套</w:t>
      </w:r>
      <w:proofErr w:type="gramStart"/>
      <w:r w:rsidRPr="00123CB5">
        <w:rPr>
          <w:rFonts w:ascii="楷体_GB2312" w:eastAsia="楷体_GB2312" w:cs="楷体_GB2312" w:hint="eastAsia"/>
          <w:kern w:val="0"/>
          <w:sz w:val="28"/>
          <w:szCs w:val="28"/>
        </w:rPr>
        <w:t>费安排</w:t>
      </w:r>
      <w:proofErr w:type="gramEnd"/>
      <w:r w:rsidRPr="00123CB5">
        <w:rPr>
          <w:rFonts w:ascii="楷体_GB2312" w:eastAsia="楷体_GB2312" w:cs="楷体_GB2312" w:hint="eastAsia"/>
          <w:kern w:val="0"/>
          <w:sz w:val="28"/>
          <w:szCs w:val="28"/>
        </w:rPr>
        <w:t>的支出（项）：指城市基础设施配套费用于城市规划和管理方面的支出。</w:t>
      </w:r>
    </w:p>
    <w:p w:rsidR="00B129FF" w:rsidRPr="00123CB5" w:rsidRDefault="00B129FF" w:rsidP="00D75038">
      <w:pPr>
        <w:autoSpaceDE w:val="0"/>
        <w:autoSpaceDN w:val="0"/>
        <w:adjustRightInd w:val="0"/>
        <w:spacing w:line="520" w:lineRule="exact"/>
        <w:rPr>
          <w:rFonts w:ascii="楷体_GB2312" w:eastAsia="楷体_GB2312" w:cs="Times New Roman"/>
          <w:kern w:val="0"/>
          <w:sz w:val="28"/>
          <w:szCs w:val="28"/>
        </w:rPr>
      </w:pPr>
      <w:r w:rsidRPr="00123CB5">
        <w:rPr>
          <w:rFonts w:ascii="楷体_GB2312" w:eastAsia="楷体_GB2312" w:cs="楷体_GB2312" w:hint="eastAsia"/>
          <w:kern w:val="0"/>
          <w:sz w:val="28"/>
          <w:szCs w:val="28"/>
        </w:rPr>
        <w:t>十五、年末结转和结余：指本年度或以前年度预算安排、因客观条件发生变化无法按原计划实施，需要延迟到以后年度按有关规定继续使用的资金。</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十六、基本支出：指为保障机构正常运转、完成日常工作任务而发生的人员支出和公用支出。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十七、项目支出：指在基本支出之外为完成特定行政任务和事业发展目标所发生的支出。</w:t>
      </w:r>
    </w:p>
    <w:p w:rsidR="00B129FF" w:rsidRPr="00123CB5" w:rsidRDefault="00B129FF" w:rsidP="00572479">
      <w:pPr>
        <w:autoSpaceDE w:val="0"/>
        <w:autoSpaceDN w:val="0"/>
        <w:adjustRightInd w:val="0"/>
        <w:spacing w:line="520" w:lineRule="exact"/>
        <w:ind w:firstLineChars="200" w:firstLine="560"/>
        <w:rPr>
          <w:rFonts w:ascii="楷体_GB2312" w:eastAsia="楷体_GB2312" w:cs="Times New Roman"/>
          <w:kern w:val="0"/>
          <w:sz w:val="28"/>
          <w:szCs w:val="28"/>
        </w:rPr>
      </w:pPr>
      <w:r w:rsidRPr="00123CB5">
        <w:rPr>
          <w:rFonts w:ascii="楷体_GB2312" w:eastAsia="楷体_GB2312" w:cs="楷体_GB2312" w:hint="eastAsia"/>
          <w:kern w:val="0"/>
          <w:sz w:val="28"/>
          <w:szCs w:val="28"/>
        </w:rPr>
        <w:t>十八、“三公”经费：指部门用财政拨款安排的因公出国（境）费、公务用车购置及运行费和公务接待费。其中，因公出</w:t>
      </w:r>
      <w:r w:rsidRPr="00123CB5">
        <w:rPr>
          <w:rFonts w:ascii="楷体_GB2312" w:eastAsia="楷体_GB2312" w:cs="楷体_GB2312" w:hint="eastAsia"/>
          <w:kern w:val="0"/>
          <w:sz w:val="28"/>
          <w:szCs w:val="28"/>
        </w:rPr>
        <w:lastRenderedPageBreak/>
        <w:t>国（境）</w:t>
      </w:r>
      <w:proofErr w:type="gramStart"/>
      <w:r w:rsidRPr="00123CB5">
        <w:rPr>
          <w:rFonts w:ascii="楷体_GB2312" w:eastAsia="楷体_GB2312" w:cs="楷体_GB2312" w:hint="eastAsia"/>
          <w:kern w:val="0"/>
          <w:sz w:val="28"/>
          <w:szCs w:val="28"/>
        </w:rPr>
        <w:t>费反映</w:t>
      </w:r>
      <w:proofErr w:type="gramEnd"/>
      <w:r w:rsidRPr="00123CB5">
        <w:rPr>
          <w:rFonts w:ascii="楷体_GB2312" w:eastAsia="楷体_GB2312" w:cs="楷体_GB2312" w:hint="eastAsia"/>
          <w:kern w:val="0"/>
          <w:sz w:val="28"/>
          <w:szCs w:val="28"/>
        </w:rPr>
        <w:t>单位公务出国（境）的国际旅费、国外城市间交通费、住宿费、伙食费、培训费、公杂费等支出；公务用车购置及运行</w:t>
      </w:r>
      <w:proofErr w:type="gramStart"/>
      <w:r w:rsidRPr="00123CB5">
        <w:rPr>
          <w:rFonts w:ascii="楷体_GB2312" w:eastAsia="楷体_GB2312" w:cs="楷体_GB2312" w:hint="eastAsia"/>
          <w:kern w:val="0"/>
          <w:sz w:val="28"/>
          <w:szCs w:val="28"/>
        </w:rPr>
        <w:t>费反映</w:t>
      </w:r>
      <w:proofErr w:type="gramEnd"/>
      <w:r w:rsidRPr="00123CB5">
        <w:rPr>
          <w:rFonts w:ascii="楷体_GB2312" w:eastAsia="楷体_GB2312" w:cs="楷体_GB2312" w:hint="eastAsia"/>
          <w:kern w:val="0"/>
          <w:sz w:val="28"/>
          <w:szCs w:val="28"/>
        </w:rPr>
        <w:t>单位公务用车车辆购置支出（</w:t>
      </w:r>
      <w:proofErr w:type="gramStart"/>
      <w:r w:rsidRPr="00123CB5">
        <w:rPr>
          <w:rFonts w:ascii="楷体_GB2312" w:eastAsia="楷体_GB2312" w:cs="楷体_GB2312" w:hint="eastAsia"/>
          <w:kern w:val="0"/>
          <w:sz w:val="28"/>
          <w:szCs w:val="28"/>
        </w:rPr>
        <w:t>含车辆</w:t>
      </w:r>
      <w:proofErr w:type="gramEnd"/>
      <w:r w:rsidRPr="00123CB5">
        <w:rPr>
          <w:rFonts w:ascii="楷体_GB2312" w:eastAsia="楷体_GB2312" w:cs="楷体_GB2312" w:hint="eastAsia"/>
          <w:kern w:val="0"/>
          <w:sz w:val="28"/>
          <w:szCs w:val="28"/>
        </w:rPr>
        <w:t>购置税）及租用费、燃料费、维修费、过路过桥费、保险费、安全奖励费用等支出；公务接待</w:t>
      </w:r>
      <w:proofErr w:type="gramStart"/>
      <w:r w:rsidRPr="00123CB5">
        <w:rPr>
          <w:rFonts w:ascii="楷体_GB2312" w:eastAsia="楷体_GB2312" w:cs="楷体_GB2312" w:hint="eastAsia"/>
          <w:kern w:val="0"/>
          <w:sz w:val="28"/>
          <w:szCs w:val="28"/>
        </w:rPr>
        <w:t>费反映</w:t>
      </w:r>
      <w:proofErr w:type="gramEnd"/>
      <w:r w:rsidRPr="00123CB5">
        <w:rPr>
          <w:rFonts w:ascii="楷体_GB2312" w:eastAsia="楷体_GB2312" w:cs="楷体_GB2312" w:hint="eastAsia"/>
          <w:kern w:val="0"/>
          <w:sz w:val="28"/>
          <w:szCs w:val="28"/>
        </w:rPr>
        <w:t>单位按规定开支的各类公务接待（含外宾接待）支出。</w:t>
      </w:r>
    </w:p>
    <w:p w:rsidR="00B129FF" w:rsidRPr="00CA7786" w:rsidRDefault="00B129FF" w:rsidP="00B46158">
      <w:pPr>
        <w:autoSpaceDE w:val="0"/>
        <w:autoSpaceDN w:val="0"/>
        <w:adjustRightInd w:val="0"/>
        <w:spacing w:line="520" w:lineRule="exact"/>
        <w:ind w:firstLineChars="200" w:firstLine="560"/>
        <w:rPr>
          <w:rFonts w:ascii="仿宋_GB2312" w:eastAsia="仿宋_GB2312" w:cs="Times New Roman"/>
          <w:kern w:val="0"/>
        </w:rPr>
      </w:pPr>
      <w:r w:rsidRPr="00123CB5">
        <w:rPr>
          <w:rFonts w:ascii="楷体_GB2312" w:eastAsia="楷体_GB2312" w:cs="楷体_GB2312" w:hint="eastAsia"/>
          <w:kern w:val="0"/>
          <w:sz w:val="28"/>
          <w:szCs w:val="28"/>
        </w:rPr>
        <w:t>十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B129FF" w:rsidRPr="00CA7786" w:rsidSect="008B65FF">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C5" w:rsidRDefault="00024CC5" w:rsidP="00D75038">
      <w:pPr>
        <w:rPr>
          <w:rFonts w:cs="Times New Roman"/>
        </w:rPr>
      </w:pPr>
      <w:r>
        <w:rPr>
          <w:rFonts w:cs="Times New Roman"/>
        </w:rPr>
        <w:separator/>
      </w:r>
    </w:p>
  </w:endnote>
  <w:endnote w:type="continuationSeparator" w:id="0">
    <w:p w:rsidR="00024CC5" w:rsidRDefault="00024CC5" w:rsidP="00D750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C5" w:rsidRDefault="00024CC5">
    <w:pPr>
      <w:pStyle w:val="a4"/>
      <w:jc w:val="center"/>
      <w:rPr>
        <w:rFonts w:cs="Times New Roman"/>
      </w:rPr>
    </w:pPr>
    <w:r>
      <w:fldChar w:fldCharType="begin"/>
    </w:r>
    <w:r>
      <w:instrText>PAGE   \* MERGEFORMAT</w:instrText>
    </w:r>
    <w:r>
      <w:fldChar w:fldCharType="separate"/>
    </w:r>
    <w:r w:rsidR="009558CC" w:rsidRPr="009558CC">
      <w:rPr>
        <w:noProof/>
        <w:lang w:val="zh-CN"/>
      </w:rPr>
      <w:t>21</w:t>
    </w:r>
    <w:r>
      <w:rPr>
        <w:noProof/>
        <w:lang w:val="zh-CN"/>
      </w:rPr>
      <w:fldChar w:fldCharType="end"/>
    </w:r>
  </w:p>
  <w:p w:rsidR="00024CC5" w:rsidRDefault="00024CC5">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C5" w:rsidRDefault="00024CC5" w:rsidP="00D75038">
      <w:pPr>
        <w:rPr>
          <w:rFonts w:cs="Times New Roman"/>
        </w:rPr>
      </w:pPr>
      <w:r>
        <w:rPr>
          <w:rFonts w:cs="Times New Roman"/>
        </w:rPr>
        <w:separator/>
      </w:r>
    </w:p>
  </w:footnote>
  <w:footnote w:type="continuationSeparator" w:id="0">
    <w:p w:rsidR="00024CC5" w:rsidRDefault="00024CC5" w:rsidP="00D7503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5F6"/>
    <w:rsid w:val="00007430"/>
    <w:rsid w:val="000211C1"/>
    <w:rsid w:val="00024CC5"/>
    <w:rsid w:val="00050D72"/>
    <w:rsid w:val="00070964"/>
    <w:rsid w:val="000736BB"/>
    <w:rsid w:val="00085C95"/>
    <w:rsid w:val="00085D5E"/>
    <w:rsid w:val="000932E8"/>
    <w:rsid w:val="000C230F"/>
    <w:rsid w:val="000C411F"/>
    <w:rsid w:val="000D1417"/>
    <w:rsid w:val="000D7EE2"/>
    <w:rsid w:val="000D7F83"/>
    <w:rsid w:val="00106A9E"/>
    <w:rsid w:val="00116392"/>
    <w:rsid w:val="00123CB5"/>
    <w:rsid w:val="0014009D"/>
    <w:rsid w:val="00153CA3"/>
    <w:rsid w:val="00157B98"/>
    <w:rsid w:val="00171ADD"/>
    <w:rsid w:val="00173265"/>
    <w:rsid w:val="001766C3"/>
    <w:rsid w:val="001914F5"/>
    <w:rsid w:val="001D2B11"/>
    <w:rsid w:val="00254A31"/>
    <w:rsid w:val="00270281"/>
    <w:rsid w:val="00284A94"/>
    <w:rsid w:val="002C57FE"/>
    <w:rsid w:val="002D6853"/>
    <w:rsid w:val="002F3338"/>
    <w:rsid w:val="002F78B8"/>
    <w:rsid w:val="00343C73"/>
    <w:rsid w:val="00350733"/>
    <w:rsid w:val="00350EE2"/>
    <w:rsid w:val="00355C68"/>
    <w:rsid w:val="003641AD"/>
    <w:rsid w:val="00364E1F"/>
    <w:rsid w:val="00375235"/>
    <w:rsid w:val="00392C79"/>
    <w:rsid w:val="003C1BBF"/>
    <w:rsid w:val="003C49A6"/>
    <w:rsid w:val="003D3AB3"/>
    <w:rsid w:val="003E0B7B"/>
    <w:rsid w:val="003E7DD8"/>
    <w:rsid w:val="00401B93"/>
    <w:rsid w:val="00413B15"/>
    <w:rsid w:val="004312E0"/>
    <w:rsid w:val="00436EBF"/>
    <w:rsid w:val="00443241"/>
    <w:rsid w:val="0044326F"/>
    <w:rsid w:val="004574C3"/>
    <w:rsid w:val="00465B73"/>
    <w:rsid w:val="0049523A"/>
    <w:rsid w:val="004B163A"/>
    <w:rsid w:val="004E15FF"/>
    <w:rsid w:val="004E2D12"/>
    <w:rsid w:val="004E34FC"/>
    <w:rsid w:val="004F2EE7"/>
    <w:rsid w:val="005009DC"/>
    <w:rsid w:val="00510804"/>
    <w:rsid w:val="0053329D"/>
    <w:rsid w:val="00551D82"/>
    <w:rsid w:val="005576F0"/>
    <w:rsid w:val="00561070"/>
    <w:rsid w:val="00572479"/>
    <w:rsid w:val="00582152"/>
    <w:rsid w:val="005A4B79"/>
    <w:rsid w:val="005A6EC0"/>
    <w:rsid w:val="005A79E8"/>
    <w:rsid w:val="005B7B8F"/>
    <w:rsid w:val="005C59B4"/>
    <w:rsid w:val="005E3834"/>
    <w:rsid w:val="005F1193"/>
    <w:rsid w:val="005F519A"/>
    <w:rsid w:val="006148DD"/>
    <w:rsid w:val="00620B3F"/>
    <w:rsid w:val="00634AFA"/>
    <w:rsid w:val="00634E2D"/>
    <w:rsid w:val="006361B8"/>
    <w:rsid w:val="00636582"/>
    <w:rsid w:val="00642765"/>
    <w:rsid w:val="00666B17"/>
    <w:rsid w:val="00690036"/>
    <w:rsid w:val="006B3837"/>
    <w:rsid w:val="006D0E3B"/>
    <w:rsid w:val="00727714"/>
    <w:rsid w:val="0075360F"/>
    <w:rsid w:val="00756FED"/>
    <w:rsid w:val="00783827"/>
    <w:rsid w:val="0078414C"/>
    <w:rsid w:val="007B40C5"/>
    <w:rsid w:val="007C55D2"/>
    <w:rsid w:val="007D6D51"/>
    <w:rsid w:val="007E5223"/>
    <w:rsid w:val="00805F11"/>
    <w:rsid w:val="00833249"/>
    <w:rsid w:val="008714B2"/>
    <w:rsid w:val="0089200E"/>
    <w:rsid w:val="00893A9A"/>
    <w:rsid w:val="008B310D"/>
    <w:rsid w:val="008B65FF"/>
    <w:rsid w:val="00906183"/>
    <w:rsid w:val="009558CC"/>
    <w:rsid w:val="00957F32"/>
    <w:rsid w:val="00967638"/>
    <w:rsid w:val="00985336"/>
    <w:rsid w:val="0098781B"/>
    <w:rsid w:val="009932A0"/>
    <w:rsid w:val="009A123B"/>
    <w:rsid w:val="009D5C30"/>
    <w:rsid w:val="009F627E"/>
    <w:rsid w:val="00A0523A"/>
    <w:rsid w:val="00A12C71"/>
    <w:rsid w:val="00A42A0C"/>
    <w:rsid w:val="00A81EFC"/>
    <w:rsid w:val="00A84DAB"/>
    <w:rsid w:val="00A941A2"/>
    <w:rsid w:val="00A962E4"/>
    <w:rsid w:val="00A965F6"/>
    <w:rsid w:val="00AC7FB4"/>
    <w:rsid w:val="00AD6F50"/>
    <w:rsid w:val="00B129FF"/>
    <w:rsid w:val="00B16799"/>
    <w:rsid w:val="00B32951"/>
    <w:rsid w:val="00B32F75"/>
    <w:rsid w:val="00B46158"/>
    <w:rsid w:val="00B55351"/>
    <w:rsid w:val="00B9220E"/>
    <w:rsid w:val="00B92525"/>
    <w:rsid w:val="00B93DA1"/>
    <w:rsid w:val="00BA3D05"/>
    <w:rsid w:val="00C16837"/>
    <w:rsid w:val="00C26A47"/>
    <w:rsid w:val="00C563E1"/>
    <w:rsid w:val="00C846FA"/>
    <w:rsid w:val="00C8609F"/>
    <w:rsid w:val="00C95A59"/>
    <w:rsid w:val="00CA18E7"/>
    <w:rsid w:val="00CA7786"/>
    <w:rsid w:val="00CE4CC6"/>
    <w:rsid w:val="00CF23EC"/>
    <w:rsid w:val="00CF28F0"/>
    <w:rsid w:val="00D01FB7"/>
    <w:rsid w:val="00D106EB"/>
    <w:rsid w:val="00D176F9"/>
    <w:rsid w:val="00D25E79"/>
    <w:rsid w:val="00D40F84"/>
    <w:rsid w:val="00D606CE"/>
    <w:rsid w:val="00D75038"/>
    <w:rsid w:val="00D81AFC"/>
    <w:rsid w:val="00D87EFF"/>
    <w:rsid w:val="00D90C25"/>
    <w:rsid w:val="00D92165"/>
    <w:rsid w:val="00D94AB6"/>
    <w:rsid w:val="00DB1851"/>
    <w:rsid w:val="00DD00B6"/>
    <w:rsid w:val="00DD2ECB"/>
    <w:rsid w:val="00DD5CE5"/>
    <w:rsid w:val="00DE6332"/>
    <w:rsid w:val="00DF33CD"/>
    <w:rsid w:val="00E0745D"/>
    <w:rsid w:val="00E32B4A"/>
    <w:rsid w:val="00E50070"/>
    <w:rsid w:val="00E524D8"/>
    <w:rsid w:val="00E6723F"/>
    <w:rsid w:val="00EA5D7F"/>
    <w:rsid w:val="00EA662E"/>
    <w:rsid w:val="00EB41DB"/>
    <w:rsid w:val="00EC0868"/>
    <w:rsid w:val="00EF34A6"/>
    <w:rsid w:val="00F0487A"/>
    <w:rsid w:val="00F0556B"/>
    <w:rsid w:val="00F13B21"/>
    <w:rsid w:val="00F14DF3"/>
    <w:rsid w:val="00F3491E"/>
    <w:rsid w:val="00F94F6E"/>
    <w:rsid w:val="00F97D9A"/>
    <w:rsid w:val="00FA7DA9"/>
    <w:rsid w:val="00FC07A0"/>
    <w:rsid w:val="00FF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9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75038"/>
    <w:rPr>
      <w:sz w:val="18"/>
      <w:szCs w:val="18"/>
    </w:rPr>
  </w:style>
  <w:style w:type="paragraph" w:styleId="a4">
    <w:name w:val="footer"/>
    <w:basedOn w:val="a"/>
    <w:link w:val="Char0"/>
    <w:uiPriority w:val="99"/>
    <w:rsid w:val="00D75038"/>
    <w:pPr>
      <w:tabs>
        <w:tab w:val="center" w:pos="4153"/>
        <w:tab w:val="right" w:pos="8306"/>
      </w:tabs>
      <w:snapToGrid w:val="0"/>
      <w:jc w:val="left"/>
    </w:pPr>
    <w:rPr>
      <w:sz w:val="18"/>
      <w:szCs w:val="18"/>
    </w:rPr>
  </w:style>
  <w:style w:type="character" w:customStyle="1" w:styleId="Char0">
    <w:name w:val="页脚 Char"/>
    <w:link w:val="a4"/>
    <w:uiPriority w:val="99"/>
    <w:locked/>
    <w:rsid w:val="00D75038"/>
    <w:rPr>
      <w:sz w:val="18"/>
      <w:szCs w:val="18"/>
    </w:rPr>
  </w:style>
  <w:style w:type="paragraph" w:styleId="a5">
    <w:name w:val="Balloon Text"/>
    <w:basedOn w:val="a"/>
    <w:link w:val="Char1"/>
    <w:uiPriority w:val="99"/>
    <w:semiHidden/>
    <w:rsid w:val="0049523A"/>
    <w:rPr>
      <w:sz w:val="18"/>
      <w:szCs w:val="18"/>
    </w:rPr>
  </w:style>
  <w:style w:type="character" w:customStyle="1" w:styleId="Char1">
    <w:name w:val="批注框文本 Char"/>
    <w:link w:val="a5"/>
    <w:uiPriority w:val="99"/>
    <w:semiHidden/>
    <w:locked/>
    <w:rsid w:val="0049523A"/>
    <w:rPr>
      <w:sz w:val="18"/>
      <w:szCs w:val="18"/>
    </w:rPr>
  </w:style>
  <w:style w:type="paragraph" w:styleId="a6">
    <w:name w:val="List Paragraph"/>
    <w:basedOn w:val="a"/>
    <w:uiPriority w:val="99"/>
    <w:qFormat/>
    <w:rsid w:val="00C95A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143679">
      <w:marLeft w:val="0"/>
      <w:marRight w:val="0"/>
      <w:marTop w:val="0"/>
      <w:marBottom w:val="0"/>
      <w:divBdr>
        <w:top w:val="none" w:sz="0" w:space="0" w:color="auto"/>
        <w:left w:val="none" w:sz="0" w:space="0" w:color="auto"/>
        <w:bottom w:val="none" w:sz="0" w:space="0" w:color="auto"/>
        <w:right w:val="none" w:sz="0" w:space="0" w:color="auto"/>
      </w:divBdr>
    </w:div>
    <w:div w:id="1299143680">
      <w:marLeft w:val="0"/>
      <w:marRight w:val="0"/>
      <w:marTop w:val="0"/>
      <w:marBottom w:val="0"/>
      <w:divBdr>
        <w:top w:val="none" w:sz="0" w:space="0" w:color="auto"/>
        <w:left w:val="none" w:sz="0" w:space="0" w:color="auto"/>
        <w:bottom w:val="none" w:sz="0" w:space="0" w:color="auto"/>
        <w:right w:val="none" w:sz="0" w:space="0" w:color="auto"/>
      </w:divBdr>
    </w:div>
    <w:div w:id="1299143681">
      <w:marLeft w:val="0"/>
      <w:marRight w:val="0"/>
      <w:marTop w:val="0"/>
      <w:marBottom w:val="0"/>
      <w:divBdr>
        <w:top w:val="none" w:sz="0" w:space="0" w:color="auto"/>
        <w:left w:val="none" w:sz="0" w:space="0" w:color="auto"/>
        <w:bottom w:val="none" w:sz="0" w:space="0" w:color="auto"/>
        <w:right w:val="none" w:sz="0" w:space="0" w:color="auto"/>
      </w:divBdr>
    </w:div>
    <w:div w:id="1299143682">
      <w:marLeft w:val="0"/>
      <w:marRight w:val="0"/>
      <w:marTop w:val="0"/>
      <w:marBottom w:val="0"/>
      <w:divBdr>
        <w:top w:val="none" w:sz="0" w:space="0" w:color="auto"/>
        <w:left w:val="none" w:sz="0" w:space="0" w:color="auto"/>
        <w:bottom w:val="none" w:sz="0" w:space="0" w:color="auto"/>
        <w:right w:val="none" w:sz="0" w:space="0" w:color="auto"/>
      </w:divBdr>
    </w:div>
    <w:div w:id="1299143683">
      <w:marLeft w:val="0"/>
      <w:marRight w:val="0"/>
      <w:marTop w:val="0"/>
      <w:marBottom w:val="0"/>
      <w:divBdr>
        <w:top w:val="none" w:sz="0" w:space="0" w:color="auto"/>
        <w:left w:val="none" w:sz="0" w:space="0" w:color="auto"/>
        <w:bottom w:val="none" w:sz="0" w:space="0" w:color="auto"/>
        <w:right w:val="none" w:sz="0" w:space="0" w:color="auto"/>
      </w:divBdr>
    </w:div>
    <w:div w:id="1299143684">
      <w:marLeft w:val="0"/>
      <w:marRight w:val="0"/>
      <w:marTop w:val="0"/>
      <w:marBottom w:val="0"/>
      <w:divBdr>
        <w:top w:val="none" w:sz="0" w:space="0" w:color="auto"/>
        <w:left w:val="none" w:sz="0" w:space="0" w:color="auto"/>
        <w:bottom w:val="none" w:sz="0" w:space="0" w:color="auto"/>
        <w:right w:val="none" w:sz="0" w:space="0" w:color="auto"/>
      </w:divBdr>
    </w:div>
    <w:div w:id="1299143685">
      <w:marLeft w:val="0"/>
      <w:marRight w:val="0"/>
      <w:marTop w:val="0"/>
      <w:marBottom w:val="0"/>
      <w:divBdr>
        <w:top w:val="none" w:sz="0" w:space="0" w:color="auto"/>
        <w:left w:val="none" w:sz="0" w:space="0" w:color="auto"/>
        <w:bottom w:val="none" w:sz="0" w:space="0" w:color="auto"/>
        <w:right w:val="none" w:sz="0" w:space="0" w:color="auto"/>
      </w:divBdr>
    </w:div>
    <w:div w:id="1299143686">
      <w:marLeft w:val="0"/>
      <w:marRight w:val="0"/>
      <w:marTop w:val="0"/>
      <w:marBottom w:val="0"/>
      <w:divBdr>
        <w:top w:val="none" w:sz="0" w:space="0" w:color="auto"/>
        <w:left w:val="none" w:sz="0" w:space="0" w:color="auto"/>
        <w:bottom w:val="none" w:sz="0" w:space="0" w:color="auto"/>
        <w:right w:val="none" w:sz="0" w:space="0" w:color="auto"/>
      </w:divBdr>
    </w:div>
    <w:div w:id="1299143687">
      <w:marLeft w:val="0"/>
      <w:marRight w:val="0"/>
      <w:marTop w:val="0"/>
      <w:marBottom w:val="0"/>
      <w:divBdr>
        <w:top w:val="none" w:sz="0" w:space="0" w:color="auto"/>
        <w:left w:val="none" w:sz="0" w:space="0" w:color="auto"/>
        <w:bottom w:val="none" w:sz="0" w:space="0" w:color="auto"/>
        <w:right w:val="none" w:sz="0" w:space="0" w:color="auto"/>
      </w:divBdr>
    </w:div>
    <w:div w:id="1299143688">
      <w:marLeft w:val="0"/>
      <w:marRight w:val="0"/>
      <w:marTop w:val="0"/>
      <w:marBottom w:val="0"/>
      <w:divBdr>
        <w:top w:val="none" w:sz="0" w:space="0" w:color="auto"/>
        <w:left w:val="none" w:sz="0" w:space="0" w:color="auto"/>
        <w:bottom w:val="none" w:sz="0" w:space="0" w:color="auto"/>
        <w:right w:val="none" w:sz="0" w:space="0" w:color="auto"/>
      </w:divBdr>
    </w:div>
    <w:div w:id="1299143689">
      <w:marLeft w:val="0"/>
      <w:marRight w:val="0"/>
      <w:marTop w:val="0"/>
      <w:marBottom w:val="0"/>
      <w:divBdr>
        <w:top w:val="none" w:sz="0" w:space="0" w:color="auto"/>
        <w:left w:val="none" w:sz="0" w:space="0" w:color="auto"/>
        <w:bottom w:val="none" w:sz="0" w:space="0" w:color="auto"/>
        <w:right w:val="none" w:sz="0" w:space="0" w:color="auto"/>
      </w:divBdr>
    </w:div>
    <w:div w:id="1299143690">
      <w:marLeft w:val="0"/>
      <w:marRight w:val="0"/>
      <w:marTop w:val="0"/>
      <w:marBottom w:val="0"/>
      <w:divBdr>
        <w:top w:val="none" w:sz="0" w:space="0" w:color="auto"/>
        <w:left w:val="none" w:sz="0" w:space="0" w:color="auto"/>
        <w:bottom w:val="none" w:sz="0" w:space="0" w:color="auto"/>
        <w:right w:val="none" w:sz="0" w:space="0" w:color="auto"/>
      </w:divBdr>
    </w:div>
    <w:div w:id="1299143691">
      <w:marLeft w:val="0"/>
      <w:marRight w:val="0"/>
      <w:marTop w:val="0"/>
      <w:marBottom w:val="0"/>
      <w:divBdr>
        <w:top w:val="none" w:sz="0" w:space="0" w:color="auto"/>
        <w:left w:val="none" w:sz="0" w:space="0" w:color="auto"/>
        <w:bottom w:val="none" w:sz="0" w:space="0" w:color="auto"/>
        <w:right w:val="none" w:sz="0" w:space="0" w:color="auto"/>
      </w:divBdr>
    </w:div>
    <w:div w:id="1299143692">
      <w:marLeft w:val="0"/>
      <w:marRight w:val="0"/>
      <w:marTop w:val="0"/>
      <w:marBottom w:val="0"/>
      <w:divBdr>
        <w:top w:val="none" w:sz="0" w:space="0" w:color="auto"/>
        <w:left w:val="none" w:sz="0" w:space="0" w:color="auto"/>
        <w:bottom w:val="none" w:sz="0" w:space="0" w:color="auto"/>
        <w:right w:val="none" w:sz="0" w:space="0" w:color="auto"/>
      </w:divBdr>
    </w:div>
    <w:div w:id="1299143693">
      <w:marLeft w:val="0"/>
      <w:marRight w:val="0"/>
      <w:marTop w:val="0"/>
      <w:marBottom w:val="0"/>
      <w:divBdr>
        <w:top w:val="none" w:sz="0" w:space="0" w:color="auto"/>
        <w:left w:val="none" w:sz="0" w:space="0" w:color="auto"/>
        <w:bottom w:val="none" w:sz="0" w:space="0" w:color="auto"/>
        <w:right w:val="none" w:sz="0" w:space="0" w:color="auto"/>
      </w:divBdr>
    </w:div>
    <w:div w:id="1299143694">
      <w:marLeft w:val="0"/>
      <w:marRight w:val="0"/>
      <w:marTop w:val="0"/>
      <w:marBottom w:val="0"/>
      <w:divBdr>
        <w:top w:val="none" w:sz="0" w:space="0" w:color="auto"/>
        <w:left w:val="none" w:sz="0" w:space="0" w:color="auto"/>
        <w:bottom w:val="none" w:sz="0" w:space="0" w:color="auto"/>
        <w:right w:val="none" w:sz="0" w:space="0" w:color="auto"/>
      </w:divBdr>
    </w:div>
    <w:div w:id="1299143695">
      <w:marLeft w:val="0"/>
      <w:marRight w:val="0"/>
      <w:marTop w:val="0"/>
      <w:marBottom w:val="0"/>
      <w:divBdr>
        <w:top w:val="none" w:sz="0" w:space="0" w:color="auto"/>
        <w:left w:val="none" w:sz="0" w:space="0" w:color="auto"/>
        <w:bottom w:val="none" w:sz="0" w:space="0" w:color="auto"/>
        <w:right w:val="none" w:sz="0" w:space="0" w:color="auto"/>
      </w:divBdr>
    </w:div>
    <w:div w:id="1299143696">
      <w:marLeft w:val="0"/>
      <w:marRight w:val="0"/>
      <w:marTop w:val="0"/>
      <w:marBottom w:val="0"/>
      <w:divBdr>
        <w:top w:val="none" w:sz="0" w:space="0" w:color="auto"/>
        <w:left w:val="none" w:sz="0" w:space="0" w:color="auto"/>
        <w:bottom w:val="none" w:sz="0" w:space="0" w:color="auto"/>
        <w:right w:val="none" w:sz="0" w:space="0" w:color="auto"/>
      </w:divBdr>
    </w:div>
    <w:div w:id="1299143697">
      <w:marLeft w:val="0"/>
      <w:marRight w:val="0"/>
      <w:marTop w:val="0"/>
      <w:marBottom w:val="0"/>
      <w:divBdr>
        <w:top w:val="none" w:sz="0" w:space="0" w:color="auto"/>
        <w:left w:val="none" w:sz="0" w:space="0" w:color="auto"/>
        <w:bottom w:val="none" w:sz="0" w:space="0" w:color="auto"/>
        <w:right w:val="none" w:sz="0" w:space="0" w:color="auto"/>
      </w:divBdr>
    </w:div>
    <w:div w:id="1299143698">
      <w:marLeft w:val="0"/>
      <w:marRight w:val="0"/>
      <w:marTop w:val="0"/>
      <w:marBottom w:val="0"/>
      <w:divBdr>
        <w:top w:val="none" w:sz="0" w:space="0" w:color="auto"/>
        <w:left w:val="none" w:sz="0" w:space="0" w:color="auto"/>
        <w:bottom w:val="none" w:sz="0" w:space="0" w:color="auto"/>
        <w:right w:val="none" w:sz="0" w:space="0" w:color="auto"/>
      </w:divBdr>
    </w:div>
    <w:div w:id="1299143699">
      <w:marLeft w:val="0"/>
      <w:marRight w:val="0"/>
      <w:marTop w:val="0"/>
      <w:marBottom w:val="0"/>
      <w:divBdr>
        <w:top w:val="none" w:sz="0" w:space="0" w:color="auto"/>
        <w:left w:val="none" w:sz="0" w:space="0" w:color="auto"/>
        <w:bottom w:val="none" w:sz="0" w:space="0" w:color="auto"/>
        <w:right w:val="none" w:sz="0" w:space="0" w:color="auto"/>
      </w:divBdr>
    </w:div>
    <w:div w:id="1299143700">
      <w:marLeft w:val="0"/>
      <w:marRight w:val="0"/>
      <w:marTop w:val="0"/>
      <w:marBottom w:val="0"/>
      <w:divBdr>
        <w:top w:val="none" w:sz="0" w:space="0" w:color="auto"/>
        <w:left w:val="none" w:sz="0" w:space="0" w:color="auto"/>
        <w:bottom w:val="none" w:sz="0" w:space="0" w:color="auto"/>
        <w:right w:val="none" w:sz="0" w:space="0" w:color="auto"/>
      </w:divBdr>
    </w:div>
    <w:div w:id="1299143701">
      <w:marLeft w:val="0"/>
      <w:marRight w:val="0"/>
      <w:marTop w:val="0"/>
      <w:marBottom w:val="0"/>
      <w:divBdr>
        <w:top w:val="none" w:sz="0" w:space="0" w:color="auto"/>
        <w:left w:val="none" w:sz="0" w:space="0" w:color="auto"/>
        <w:bottom w:val="none" w:sz="0" w:space="0" w:color="auto"/>
        <w:right w:val="none" w:sz="0" w:space="0" w:color="auto"/>
      </w:divBdr>
    </w:div>
    <w:div w:id="1299143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25</Pages>
  <Words>7766</Words>
  <Characters>7007</Characters>
  <Application>Microsoft Office Word</Application>
  <DocSecurity>0</DocSecurity>
  <Lines>58</Lines>
  <Paragraphs>29</Paragraphs>
  <ScaleCrop>false</ScaleCrop>
  <Company>Sky123.Org</Company>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2016-10-18T02:17:00Z</cp:lastPrinted>
  <dcterms:created xsi:type="dcterms:W3CDTF">2016-10-19T10:18:00Z</dcterms:created>
  <dcterms:modified xsi:type="dcterms:W3CDTF">2017-04-17T01:15:00Z</dcterms:modified>
</cp:coreProperties>
</file>