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asciiTheme="majorEastAsia" w:hAnsiTheme="majorEastAsia" w:eastAsiaTheme="majorEastAsia"/>
          <w:b/>
          <w:sz w:val="44"/>
          <w:szCs w:val="44"/>
        </w:rPr>
      </w:pPr>
      <w:bookmarkStart w:id="0" w:name="_GoBack"/>
      <w:r>
        <w:rPr>
          <w:rFonts w:hint="eastAsia" w:asciiTheme="majorEastAsia" w:hAnsiTheme="majorEastAsia" w:eastAsiaTheme="majorEastAsia"/>
          <w:b/>
          <w:sz w:val="44"/>
          <w:szCs w:val="44"/>
        </w:rPr>
        <w:t>2017年中共梅州市委宣传部预算公开说明</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ajorEastAsia" w:hAnsiTheme="majorEastAsia" w:eastAsiaTheme="majorEastAsia"/>
          <w:b/>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60"/>
        <w:textAlignment w:val="auto"/>
        <w:outlineLvl w:val="9"/>
        <w:rPr>
          <w:rFonts w:asciiTheme="minorEastAsia" w:hAnsiTheme="minorEastAsia"/>
          <w:sz w:val="32"/>
          <w:szCs w:val="32"/>
        </w:rPr>
      </w:pPr>
      <w:r>
        <w:rPr>
          <w:rFonts w:hint="eastAsia" w:asciiTheme="minorEastAsia" w:hAnsiTheme="minorEastAsia"/>
          <w:sz w:val="32"/>
          <w:szCs w:val="32"/>
        </w:rPr>
        <w:t>2017年部门预算经市七届人大一次会议审议通过，按照《关于批复2017年市直部门预算的通知》要求，现将我单位说明如下：</w:t>
      </w:r>
    </w:p>
    <w:p>
      <w:pPr>
        <w:pStyle w:val="9"/>
        <w:keepNext w:val="0"/>
        <w:keepLines w:val="0"/>
        <w:pageBreakBefore w:val="0"/>
        <w:widowControl w:val="0"/>
        <w:numPr>
          <w:numId w:val="0"/>
        </w:numPr>
        <w:kinsoku/>
        <w:wordWrap/>
        <w:overflowPunct/>
        <w:topLinePunct w:val="0"/>
        <w:autoSpaceDE/>
        <w:autoSpaceDN/>
        <w:bidi w:val="0"/>
        <w:adjustRightInd/>
        <w:snapToGrid/>
        <w:spacing w:line="560" w:lineRule="exact"/>
        <w:ind w:left="660" w:leftChars="0" w:right="0" w:rightChars="0"/>
        <w:jc w:val="center"/>
        <w:textAlignment w:val="auto"/>
        <w:outlineLvl w:val="9"/>
        <w:rPr>
          <w:rFonts w:asciiTheme="minorEastAsia" w:hAnsiTheme="minorEastAsia"/>
          <w:b/>
          <w:sz w:val="32"/>
          <w:szCs w:val="32"/>
        </w:rPr>
      </w:pPr>
      <w:r>
        <w:rPr>
          <w:rFonts w:hint="eastAsia" w:asciiTheme="minorEastAsia" w:hAnsiTheme="minorEastAsia"/>
          <w:b/>
          <w:sz w:val="32"/>
          <w:szCs w:val="32"/>
          <w:lang w:eastAsia="zh-CN"/>
        </w:rPr>
        <w:t>第一部分</w:t>
      </w:r>
      <w:r>
        <w:rPr>
          <w:rFonts w:hint="eastAsia" w:asciiTheme="minorEastAsia" w:hAnsiTheme="minorEastAsia"/>
          <w:b/>
          <w:sz w:val="32"/>
          <w:szCs w:val="32"/>
          <w:lang w:val="en-US" w:eastAsia="zh-CN"/>
        </w:rPr>
        <w:t xml:space="preserve">  </w:t>
      </w:r>
      <w:r>
        <w:rPr>
          <w:rFonts w:hint="eastAsia" w:asciiTheme="minorEastAsia" w:hAnsiTheme="minorEastAsia"/>
          <w:b/>
          <w:sz w:val="32"/>
          <w:szCs w:val="32"/>
        </w:rPr>
        <w:t>部门主要职责</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60"/>
        <w:textAlignment w:val="auto"/>
        <w:outlineLvl w:val="9"/>
        <w:rPr>
          <w:rFonts w:asciiTheme="minorEastAsia" w:hAnsiTheme="minorEastAsia"/>
          <w:sz w:val="32"/>
          <w:szCs w:val="32"/>
        </w:rPr>
      </w:pPr>
      <w:r>
        <w:rPr>
          <w:rFonts w:hint="eastAsia" w:asciiTheme="minorEastAsia" w:hAnsiTheme="minorEastAsia"/>
          <w:sz w:val="32"/>
          <w:szCs w:val="32"/>
        </w:rPr>
        <w:t>（一）贯彻执行中央和省、市委有关意识形态方面的方针政策；制订我市宣传文化工作的方针和事业建设的总体规划并组织实施。</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60"/>
        <w:textAlignment w:val="auto"/>
        <w:outlineLvl w:val="9"/>
        <w:rPr>
          <w:rFonts w:asciiTheme="minorEastAsia" w:hAnsiTheme="minorEastAsia"/>
          <w:sz w:val="32"/>
          <w:szCs w:val="32"/>
        </w:rPr>
      </w:pPr>
      <w:r>
        <w:rPr>
          <w:rFonts w:hint="eastAsia" w:asciiTheme="minorEastAsia" w:hAnsiTheme="minorEastAsia"/>
          <w:sz w:val="32"/>
          <w:szCs w:val="32"/>
        </w:rPr>
        <w:t>（二）对市直宣传文化系统包括文化艺术、新闻出版、广播电视、社会科学研究等部门及有关社会团体的工作实施指导、协调、管理。</w:t>
      </w:r>
      <w:r>
        <w:rPr>
          <w:rFonts w:hint="eastAsia" w:asciiTheme="minorEastAsia" w:hAnsiTheme="minorEastAsia"/>
          <w:sz w:val="32"/>
          <w:szCs w:val="32"/>
        </w:rPr>
        <w:br w:type="textWrapping"/>
      </w:r>
      <w:r>
        <w:rPr>
          <w:rFonts w:hint="eastAsia" w:asciiTheme="minorEastAsia" w:hAnsiTheme="minorEastAsia"/>
          <w:sz w:val="32"/>
          <w:szCs w:val="32"/>
        </w:rPr>
        <w:t xml:space="preserve">    （三）负责组织、指导理论研究、理论学习、理论宣传方面的工作；会同市委组织部做好党员教育工作，参与编写党员教育教材。</w:t>
      </w:r>
      <w:r>
        <w:rPr>
          <w:rFonts w:hint="eastAsia" w:asciiTheme="minorEastAsia" w:hAnsiTheme="minorEastAsia"/>
          <w:sz w:val="32"/>
          <w:szCs w:val="32"/>
        </w:rPr>
        <w:br w:type="textWrapping"/>
      </w:r>
      <w:r>
        <w:rPr>
          <w:rFonts w:hint="eastAsia" w:asciiTheme="minorEastAsia" w:hAnsiTheme="minorEastAsia"/>
          <w:sz w:val="32"/>
          <w:szCs w:val="32"/>
        </w:rPr>
        <w:t xml:space="preserve">    （四）负责新闻舆论导向；会同有关部门做好申办报刊、出版社、广播电台、电视台的审批工作。</w:t>
      </w:r>
      <w:r>
        <w:rPr>
          <w:rFonts w:hint="eastAsia" w:asciiTheme="minorEastAsia" w:hAnsiTheme="minorEastAsia"/>
          <w:sz w:val="32"/>
          <w:szCs w:val="32"/>
        </w:rPr>
        <w:br w:type="textWrapping"/>
      </w:r>
      <w:r>
        <w:rPr>
          <w:rFonts w:hint="eastAsia" w:asciiTheme="minorEastAsia" w:hAnsiTheme="minorEastAsia"/>
          <w:sz w:val="32"/>
          <w:szCs w:val="32"/>
        </w:rPr>
        <w:t xml:space="preserve">    （五）负责规划和宏观指导精神产品的生产和文化艺术工作，保证党的文艺方针、政策的贯彻执行。</w:t>
      </w:r>
      <w:r>
        <w:rPr>
          <w:rFonts w:hint="eastAsia" w:asciiTheme="minorEastAsia" w:hAnsiTheme="minorEastAsia"/>
          <w:sz w:val="32"/>
          <w:szCs w:val="32"/>
        </w:rPr>
        <w:br w:type="textWrapping"/>
      </w:r>
      <w:r>
        <w:rPr>
          <w:rFonts w:hint="eastAsia" w:asciiTheme="minorEastAsia" w:hAnsiTheme="minorEastAsia"/>
          <w:sz w:val="32"/>
          <w:szCs w:val="32"/>
        </w:rPr>
        <w:t xml:space="preserve">    （六）规划和部署全市性的宣传思想工作；组织进行党的中心任务和方针、政策。国际国内形势以及政治、经济、文化活动的社会宣传；会同有关部门研究和改进群众思想教育工作。</w:t>
      </w:r>
      <w:r>
        <w:rPr>
          <w:rFonts w:hint="eastAsia" w:asciiTheme="minorEastAsia" w:hAnsiTheme="minorEastAsia"/>
          <w:sz w:val="32"/>
          <w:szCs w:val="32"/>
        </w:rPr>
        <w:br w:type="textWrapping"/>
      </w:r>
      <w:r>
        <w:rPr>
          <w:rFonts w:hint="eastAsia" w:asciiTheme="minorEastAsia" w:hAnsiTheme="minorEastAsia"/>
          <w:sz w:val="32"/>
          <w:szCs w:val="32"/>
        </w:rPr>
        <w:t xml:space="preserve">    （七）宏观指导、部署企业的思想政治工作；负责企（事）业单位政工人员专业职务评定、考核、培训工作。</w:t>
      </w:r>
      <w:r>
        <w:rPr>
          <w:rFonts w:hint="eastAsia" w:asciiTheme="minorEastAsia" w:hAnsiTheme="minorEastAsia"/>
          <w:sz w:val="32"/>
          <w:szCs w:val="32"/>
        </w:rPr>
        <w:br w:type="textWrapping"/>
      </w:r>
      <w:r>
        <w:rPr>
          <w:rFonts w:hint="eastAsia" w:asciiTheme="minorEastAsia" w:hAnsiTheme="minorEastAsia"/>
          <w:sz w:val="32"/>
          <w:szCs w:val="32"/>
        </w:rPr>
        <w:t xml:space="preserve">    （八）研究制定精神文明建设的规划、措施、对策；指导、部署、协调群众性创建精神文明重大活动的开展。</w:t>
      </w:r>
      <w:r>
        <w:rPr>
          <w:rFonts w:hint="eastAsia" w:asciiTheme="minorEastAsia" w:hAnsiTheme="minorEastAsia"/>
          <w:sz w:val="32"/>
          <w:szCs w:val="32"/>
        </w:rPr>
        <w:br w:type="textWrapping"/>
      </w:r>
      <w:r>
        <w:rPr>
          <w:rFonts w:hint="eastAsia" w:asciiTheme="minorEastAsia" w:hAnsiTheme="minorEastAsia"/>
          <w:sz w:val="32"/>
          <w:szCs w:val="32"/>
        </w:rPr>
        <w:t xml:space="preserve">    （九）指导和协调、组织对外、对港澳的宣传工作；会同并协调有关部门做好港澳和其他境外记者来我市采访报道的管理工作；做好港澳和境外记者、艺员来梅采访、演出的审批工作；做好全市对外宣传制品出境的审批工作；检查督促全市对外宣传纪律的执行；组织协调市内新闻发布会的工作。</w:t>
      </w:r>
      <w:r>
        <w:rPr>
          <w:rFonts w:hint="eastAsia" w:asciiTheme="minorEastAsia" w:hAnsiTheme="minorEastAsia"/>
          <w:sz w:val="32"/>
          <w:szCs w:val="32"/>
        </w:rPr>
        <w:br w:type="textWrapping"/>
      </w:r>
      <w:r>
        <w:rPr>
          <w:rFonts w:hint="eastAsia" w:asciiTheme="minorEastAsia" w:hAnsiTheme="minorEastAsia"/>
          <w:sz w:val="32"/>
          <w:szCs w:val="32"/>
        </w:rPr>
        <w:t xml:space="preserve">    （十）按有关程序协助管理市直文化艺术、新闻出版、广播电视和社会科学研究部门及有关社会团体等部门领导班子的建设；对县（市、区）委宣传部长的任免提出意见；规划并组织党委宣传干部的培训工作；联系宣传文化系统的知识分子，会同有关部门做好知识分子工作。</w:t>
      </w:r>
      <w:r>
        <w:rPr>
          <w:rFonts w:hint="eastAsia" w:asciiTheme="minorEastAsia" w:hAnsiTheme="minorEastAsia"/>
          <w:sz w:val="32"/>
          <w:szCs w:val="32"/>
        </w:rPr>
        <w:br w:type="textWrapping"/>
      </w:r>
      <w:r>
        <w:rPr>
          <w:rFonts w:hint="eastAsia" w:asciiTheme="minorEastAsia" w:hAnsiTheme="minorEastAsia"/>
          <w:sz w:val="32"/>
          <w:szCs w:val="32"/>
        </w:rPr>
        <w:t xml:space="preserve">    （十一）会同有关部门管理宣传文化发展专项资金。</w:t>
      </w:r>
      <w:r>
        <w:rPr>
          <w:rFonts w:hint="eastAsia" w:asciiTheme="minorEastAsia" w:hAnsiTheme="minorEastAsia"/>
          <w:sz w:val="32"/>
          <w:szCs w:val="32"/>
        </w:rPr>
        <w:br w:type="textWrapping"/>
      </w:r>
      <w:r>
        <w:rPr>
          <w:rFonts w:hint="eastAsia" w:asciiTheme="minorEastAsia" w:hAnsiTheme="minorEastAsia"/>
          <w:sz w:val="32"/>
          <w:szCs w:val="32"/>
        </w:rPr>
        <w:t xml:space="preserve">    （十二）管理直属单位。</w:t>
      </w:r>
      <w:r>
        <w:rPr>
          <w:rFonts w:hint="eastAsia" w:asciiTheme="minorEastAsia" w:hAnsiTheme="minorEastAsia"/>
          <w:sz w:val="32"/>
          <w:szCs w:val="32"/>
        </w:rPr>
        <w:br w:type="textWrapping"/>
      </w:r>
      <w:r>
        <w:rPr>
          <w:rFonts w:hint="eastAsia" w:asciiTheme="minorEastAsia" w:hAnsiTheme="minorEastAsia"/>
          <w:sz w:val="32"/>
          <w:szCs w:val="32"/>
        </w:rPr>
        <w:t xml:space="preserve">    （十三）完成市委和省委宣传部交办的其他任务。</w:t>
      </w:r>
    </w:p>
    <w:p>
      <w:pPr>
        <w:keepNext w:val="0"/>
        <w:keepLines w:val="0"/>
        <w:pageBreakBefore w:val="0"/>
        <w:widowControl w:val="0"/>
        <w:kinsoku/>
        <w:wordWrap/>
        <w:overflowPunct/>
        <w:topLinePunct w:val="0"/>
        <w:autoSpaceDE/>
        <w:autoSpaceDN/>
        <w:bidi w:val="0"/>
        <w:adjustRightInd/>
        <w:snapToGrid/>
        <w:spacing w:line="560" w:lineRule="exact"/>
        <w:ind w:left="660" w:right="0" w:rightChars="0"/>
        <w:textAlignment w:val="auto"/>
        <w:outlineLvl w:val="9"/>
        <w:rPr>
          <w:color w:val="333333"/>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line="560" w:lineRule="exact"/>
        <w:ind w:left="660" w:right="0" w:rightChars="0"/>
        <w:textAlignment w:val="auto"/>
        <w:outlineLvl w:val="9"/>
        <w:rPr>
          <w:color w:val="333333"/>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line="560" w:lineRule="exact"/>
        <w:ind w:left="660" w:right="0" w:rightChars="0"/>
        <w:textAlignment w:val="auto"/>
        <w:outlineLvl w:val="9"/>
        <w:rPr>
          <w:color w:val="333333"/>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line="560" w:lineRule="exact"/>
        <w:ind w:left="660" w:right="0" w:rightChars="0"/>
        <w:textAlignment w:val="auto"/>
        <w:outlineLvl w:val="9"/>
        <w:rPr>
          <w:color w:val="333333"/>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line="560" w:lineRule="exact"/>
        <w:ind w:left="660" w:right="0" w:rightChars="0"/>
        <w:textAlignment w:val="auto"/>
        <w:outlineLvl w:val="9"/>
        <w:rPr>
          <w:color w:val="333333"/>
          <w:sz w:val="32"/>
          <w:szCs w:val="32"/>
          <w:shd w:val="clear" w:color="auto" w:fill="FFFFFF"/>
        </w:rPr>
      </w:pPr>
    </w:p>
    <w:p>
      <w:pPr>
        <w:pStyle w:val="9"/>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Chars="0"/>
        <w:textAlignment w:val="auto"/>
        <w:outlineLvl w:val="9"/>
        <w:rPr>
          <w:b/>
          <w:color w:val="333333"/>
          <w:sz w:val="32"/>
          <w:szCs w:val="32"/>
          <w:shd w:val="clear" w:color="auto" w:fill="FFFFFF"/>
        </w:rPr>
      </w:pPr>
      <w:r>
        <w:rPr>
          <w:rFonts w:hint="eastAsia"/>
          <w:b/>
          <w:color w:val="333333"/>
          <w:sz w:val="32"/>
          <w:szCs w:val="32"/>
          <w:shd w:val="clear" w:color="auto" w:fill="FFFFFF"/>
        </w:rPr>
        <w:t>部门预算单位构成及基本情况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60"/>
        <w:textAlignment w:val="auto"/>
        <w:outlineLvl w:val="9"/>
        <w:rPr>
          <w:rFonts w:asciiTheme="minorEastAsia" w:hAnsiTheme="minorEastAsia"/>
          <w:sz w:val="32"/>
          <w:szCs w:val="32"/>
        </w:rPr>
      </w:pPr>
      <w:r>
        <w:rPr>
          <w:rFonts w:hint="eastAsia" w:asciiTheme="minorEastAsia" w:hAnsiTheme="minorEastAsia"/>
          <w:sz w:val="32"/>
          <w:szCs w:val="32"/>
        </w:rPr>
        <w:t>从预算单位构成看，包含了一级预算单位市委宣传部和二级预算单位市委讲师团、直属单位梅州市互联网信息中心。</w:t>
      </w:r>
    </w:p>
    <w:tbl>
      <w:tblPr>
        <w:tblStyle w:val="8"/>
        <w:tblW w:w="7862" w:type="dxa"/>
        <w:tblInd w:w="6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1319"/>
        <w:gridCol w:w="1318"/>
        <w:gridCol w:w="1446"/>
        <w:gridCol w:w="1276"/>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9"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b/>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b/>
                <w:sz w:val="24"/>
                <w:szCs w:val="24"/>
              </w:rPr>
            </w:pPr>
            <w:r>
              <w:rPr>
                <w:rFonts w:hint="eastAsia" w:asciiTheme="minorEastAsia" w:hAnsiTheme="minorEastAsia"/>
                <w:b/>
                <w:sz w:val="24"/>
                <w:szCs w:val="24"/>
              </w:rPr>
              <w:t>单位名称</w:t>
            </w:r>
          </w:p>
        </w:tc>
        <w:tc>
          <w:tcPr>
            <w:tcW w:w="1319"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b/>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b/>
                <w:sz w:val="24"/>
                <w:szCs w:val="24"/>
              </w:rPr>
            </w:pPr>
            <w:r>
              <w:rPr>
                <w:rFonts w:hint="eastAsia" w:asciiTheme="minorEastAsia" w:hAnsiTheme="minorEastAsia"/>
                <w:b/>
                <w:sz w:val="24"/>
                <w:szCs w:val="24"/>
              </w:rPr>
              <w:t>单位性质</w:t>
            </w:r>
          </w:p>
        </w:tc>
        <w:tc>
          <w:tcPr>
            <w:tcW w:w="1318"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b/>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b/>
                <w:sz w:val="24"/>
                <w:szCs w:val="24"/>
              </w:rPr>
            </w:pPr>
            <w:r>
              <w:rPr>
                <w:rFonts w:hint="eastAsia" w:asciiTheme="minorEastAsia" w:hAnsiTheme="minorEastAsia"/>
                <w:b/>
                <w:sz w:val="24"/>
                <w:szCs w:val="24"/>
              </w:rPr>
              <w:t>经费性质</w:t>
            </w:r>
          </w:p>
        </w:tc>
        <w:tc>
          <w:tcPr>
            <w:tcW w:w="1446"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b/>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b/>
                <w:sz w:val="24"/>
                <w:szCs w:val="24"/>
              </w:rPr>
            </w:pPr>
            <w:r>
              <w:rPr>
                <w:rFonts w:hint="eastAsia" w:asciiTheme="minorEastAsia" w:hAnsiTheme="minorEastAsia"/>
                <w:b/>
                <w:sz w:val="24"/>
                <w:szCs w:val="24"/>
              </w:rPr>
              <w:t>人员编制数</w:t>
            </w:r>
          </w:p>
        </w:tc>
        <w:tc>
          <w:tcPr>
            <w:tcW w:w="1276"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b/>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b/>
                <w:sz w:val="24"/>
                <w:szCs w:val="24"/>
              </w:rPr>
            </w:pPr>
            <w:r>
              <w:rPr>
                <w:rFonts w:hint="eastAsia" w:asciiTheme="minorEastAsia" w:hAnsiTheme="minorEastAsia"/>
                <w:b/>
                <w:sz w:val="24"/>
                <w:szCs w:val="24"/>
              </w:rPr>
              <w:t>在职人数</w:t>
            </w:r>
          </w:p>
        </w:tc>
        <w:tc>
          <w:tcPr>
            <w:tcW w:w="1184"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asciiTheme="minorEastAsia" w:hAnsiTheme="minorEastAsia"/>
                <w:b/>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asciiTheme="minorEastAsia" w:hAnsiTheme="minorEastAsia"/>
                <w:b/>
                <w:sz w:val="24"/>
                <w:szCs w:val="24"/>
              </w:rPr>
            </w:pPr>
            <w:r>
              <w:rPr>
                <w:rFonts w:hint="eastAsia" w:asciiTheme="minorEastAsia" w:hAnsiTheme="minorEastAsia"/>
                <w:b/>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9"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24"/>
                <w:szCs w:val="24"/>
              </w:rPr>
            </w:pPr>
            <w:r>
              <w:rPr>
                <w:rFonts w:hint="eastAsia" w:asciiTheme="minorEastAsia" w:hAnsiTheme="minorEastAsia"/>
                <w:sz w:val="24"/>
                <w:szCs w:val="24"/>
              </w:rPr>
              <w:t>中共梅州市委宣传部</w:t>
            </w:r>
          </w:p>
        </w:tc>
        <w:tc>
          <w:tcPr>
            <w:tcW w:w="1319"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24"/>
                <w:szCs w:val="24"/>
              </w:rPr>
            </w:pPr>
            <w:r>
              <w:rPr>
                <w:rFonts w:hint="eastAsia" w:asciiTheme="minorEastAsia" w:hAnsiTheme="minorEastAsia"/>
                <w:sz w:val="24"/>
                <w:szCs w:val="24"/>
              </w:rPr>
              <w:t>行政机关一级预算单位</w:t>
            </w:r>
          </w:p>
        </w:tc>
        <w:tc>
          <w:tcPr>
            <w:tcW w:w="1318"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24"/>
                <w:szCs w:val="24"/>
              </w:rPr>
            </w:pPr>
            <w:r>
              <w:rPr>
                <w:rFonts w:hint="eastAsia" w:asciiTheme="minorEastAsia" w:hAnsiTheme="minorEastAsia"/>
                <w:sz w:val="24"/>
                <w:szCs w:val="24"/>
              </w:rPr>
              <w:t>全额拨款</w:t>
            </w:r>
          </w:p>
        </w:tc>
        <w:tc>
          <w:tcPr>
            <w:tcW w:w="1446"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asciiTheme="minorEastAsia" w:hAnsiTheme="minorEastAsia"/>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asciiTheme="minorEastAsia" w:hAnsiTheme="minorEastAsia"/>
                <w:sz w:val="24"/>
                <w:szCs w:val="24"/>
              </w:rPr>
            </w:pPr>
            <w:r>
              <w:rPr>
                <w:rFonts w:hint="eastAsia" w:asciiTheme="minorEastAsia" w:hAnsiTheme="minorEastAsia"/>
                <w:sz w:val="24"/>
                <w:szCs w:val="24"/>
              </w:rPr>
              <w:t>26</w:t>
            </w:r>
          </w:p>
        </w:tc>
        <w:tc>
          <w:tcPr>
            <w:tcW w:w="1276"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asciiTheme="minorEastAsia" w:hAnsiTheme="minorEastAsia"/>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asciiTheme="minorEastAsia" w:hAnsiTheme="minorEastAsia"/>
                <w:sz w:val="24"/>
                <w:szCs w:val="24"/>
              </w:rPr>
            </w:pPr>
            <w:r>
              <w:rPr>
                <w:rFonts w:hint="eastAsia" w:asciiTheme="minorEastAsia" w:hAnsiTheme="minorEastAsia"/>
                <w:sz w:val="24"/>
                <w:szCs w:val="24"/>
              </w:rPr>
              <w:t>24</w:t>
            </w:r>
          </w:p>
        </w:tc>
        <w:tc>
          <w:tcPr>
            <w:tcW w:w="1184"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24"/>
                <w:szCs w:val="24"/>
              </w:rPr>
            </w:pPr>
            <w:r>
              <w:rPr>
                <w:rFonts w:hint="eastAsia" w:asciiTheme="minorEastAsia" w:hAnsiTheme="minorEastAsia"/>
                <w:sz w:val="24"/>
                <w:szCs w:val="24"/>
              </w:rPr>
              <w:t>含两个直属单位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9"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24"/>
                <w:szCs w:val="24"/>
              </w:rPr>
            </w:pPr>
            <w:r>
              <w:rPr>
                <w:rFonts w:hint="eastAsia" w:asciiTheme="minorEastAsia" w:hAnsiTheme="minorEastAsia"/>
                <w:sz w:val="24"/>
                <w:szCs w:val="24"/>
              </w:rPr>
              <w:t>梅州市互联网新闻信息中心</w:t>
            </w:r>
          </w:p>
        </w:tc>
        <w:tc>
          <w:tcPr>
            <w:tcW w:w="1319"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24"/>
                <w:szCs w:val="24"/>
              </w:rPr>
            </w:pPr>
            <w:r>
              <w:rPr>
                <w:rFonts w:hint="eastAsia" w:asciiTheme="minorEastAsia" w:hAnsiTheme="minorEastAsia"/>
                <w:sz w:val="24"/>
                <w:szCs w:val="24"/>
              </w:rPr>
              <w:t>事业单位</w:t>
            </w:r>
          </w:p>
        </w:tc>
        <w:tc>
          <w:tcPr>
            <w:tcW w:w="1318"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24"/>
                <w:szCs w:val="24"/>
              </w:rPr>
            </w:pPr>
            <w:r>
              <w:rPr>
                <w:rFonts w:hint="eastAsia" w:asciiTheme="minorEastAsia" w:hAnsiTheme="minorEastAsia"/>
                <w:sz w:val="24"/>
                <w:szCs w:val="24"/>
              </w:rPr>
              <w:t>全额拨款</w:t>
            </w:r>
          </w:p>
        </w:tc>
        <w:tc>
          <w:tcPr>
            <w:tcW w:w="1446"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firstLine="720" w:firstLineChars="300"/>
              <w:jc w:val="center"/>
              <w:textAlignment w:val="auto"/>
              <w:outlineLvl w:val="9"/>
              <w:rPr>
                <w:rFonts w:asciiTheme="minorEastAsia" w:hAnsiTheme="minorEastAsia"/>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480" w:firstLineChars="200"/>
              <w:textAlignment w:val="auto"/>
              <w:outlineLvl w:val="9"/>
              <w:rPr>
                <w:rFonts w:asciiTheme="minorEastAsia" w:hAnsiTheme="minorEastAsia"/>
                <w:sz w:val="24"/>
                <w:szCs w:val="24"/>
              </w:rPr>
            </w:pPr>
            <w:r>
              <w:rPr>
                <w:rFonts w:hint="eastAsia" w:asciiTheme="minorEastAsia" w:hAnsiTheme="minorEastAsia"/>
                <w:sz w:val="24"/>
                <w:szCs w:val="24"/>
              </w:rPr>
              <w:t>4</w:t>
            </w:r>
          </w:p>
        </w:tc>
        <w:tc>
          <w:tcPr>
            <w:tcW w:w="1276"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asciiTheme="minorEastAsia" w:hAnsiTheme="minorEastAsia"/>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asciiTheme="minorEastAsia" w:hAnsiTheme="minorEastAsia"/>
                <w:sz w:val="24"/>
                <w:szCs w:val="24"/>
              </w:rPr>
            </w:pPr>
            <w:r>
              <w:rPr>
                <w:rFonts w:hint="eastAsia" w:asciiTheme="minorEastAsia" w:hAnsiTheme="minorEastAsia"/>
                <w:sz w:val="24"/>
                <w:szCs w:val="24"/>
              </w:rPr>
              <w:t>4</w:t>
            </w:r>
          </w:p>
        </w:tc>
        <w:tc>
          <w:tcPr>
            <w:tcW w:w="1184"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24"/>
                <w:szCs w:val="24"/>
              </w:rPr>
            </w:pPr>
            <w:r>
              <w:rPr>
                <w:rFonts w:hint="eastAsia" w:asciiTheme="minorEastAsia" w:hAnsiTheme="minorEastAsia"/>
                <w:sz w:val="24"/>
                <w:szCs w:val="24"/>
              </w:rPr>
              <w:t>由宣传部账户统一核算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9"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24"/>
                <w:szCs w:val="24"/>
              </w:rPr>
            </w:pPr>
            <w:r>
              <w:rPr>
                <w:rFonts w:hint="eastAsia" w:asciiTheme="minorEastAsia" w:hAnsiTheme="minorEastAsia"/>
                <w:sz w:val="24"/>
                <w:szCs w:val="24"/>
              </w:rPr>
              <w:t>中共梅州市委宣传部讲师团</w:t>
            </w:r>
          </w:p>
        </w:tc>
        <w:tc>
          <w:tcPr>
            <w:tcW w:w="1319"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24"/>
                <w:szCs w:val="24"/>
              </w:rPr>
            </w:pPr>
            <w:r>
              <w:rPr>
                <w:rFonts w:hint="eastAsia" w:asciiTheme="minorEastAsia" w:hAnsiTheme="minorEastAsia"/>
                <w:sz w:val="24"/>
                <w:szCs w:val="24"/>
              </w:rPr>
              <w:t>参公二级预算单位</w:t>
            </w:r>
          </w:p>
        </w:tc>
        <w:tc>
          <w:tcPr>
            <w:tcW w:w="1318"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24"/>
                <w:szCs w:val="24"/>
              </w:rPr>
            </w:pPr>
            <w:r>
              <w:rPr>
                <w:rFonts w:hint="eastAsia" w:asciiTheme="minorEastAsia" w:hAnsiTheme="minorEastAsia"/>
                <w:sz w:val="24"/>
                <w:szCs w:val="24"/>
              </w:rPr>
              <w:t>全额拨款</w:t>
            </w:r>
          </w:p>
        </w:tc>
        <w:tc>
          <w:tcPr>
            <w:tcW w:w="1446"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asciiTheme="minorEastAsia" w:hAnsiTheme="minorEastAsia"/>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asciiTheme="minorEastAsia" w:hAnsiTheme="minorEastAsia"/>
                <w:sz w:val="24"/>
                <w:szCs w:val="24"/>
              </w:rPr>
            </w:pPr>
            <w:r>
              <w:rPr>
                <w:rFonts w:hint="eastAsia" w:asciiTheme="minorEastAsia" w:hAnsiTheme="minorEastAsia"/>
                <w:sz w:val="24"/>
                <w:szCs w:val="24"/>
              </w:rPr>
              <w:t>5</w:t>
            </w:r>
          </w:p>
        </w:tc>
        <w:tc>
          <w:tcPr>
            <w:tcW w:w="1276"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asciiTheme="minorEastAsia" w:hAnsiTheme="minorEastAsia"/>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asciiTheme="minorEastAsia" w:hAnsiTheme="minorEastAsia"/>
                <w:sz w:val="24"/>
                <w:szCs w:val="24"/>
              </w:rPr>
            </w:pPr>
            <w:r>
              <w:rPr>
                <w:rFonts w:hint="eastAsia" w:asciiTheme="minorEastAsia" w:hAnsiTheme="minorEastAsia"/>
                <w:sz w:val="24"/>
                <w:szCs w:val="24"/>
              </w:rPr>
              <w:t>3</w:t>
            </w:r>
          </w:p>
        </w:tc>
        <w:tc>
          <w:tcPr>
            <w:tcW w:w="1184" w:type="dxa"/>
          </w:tcPr>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24"/>
                <w:szCs w:val="24"/>
              </w:rPr>
            </w:pPr>
            <w:r>
              <w:rPr>
                <w:rFonts w:hint="eastAsia" w:asciiTheme="minorEastAsia" w:hAnsiTheme="minorEastAsia"/>
                <w:sz w:val="24"/>
                <w:szCs w:val="24"/>
              </w:rPr>
              <w:t>宣传部直属（独立账户核算）</w:t>
            </w:r>
          </w:p>
        </w:tc>
      </w:tr>
    </w:tbl>
    <w:p>
      <w:pPr>
        <w:keepNext w:val="0"/>
        <w:keepLines w:val="0"/>
        <w:pageBreakBefore w:val="0"/>
        <w:widowControl w:val="0"/>
        <w:kinsoku/>
        <w:wordWrap/>
        <w:overflowPunct/>
        <w:topLinePunct w:val="0"/>
        <w:autoSpaceDE/>
        <w:autoSpaceDN/>
        <w:bidi w:val="0"/>
        <w:adjustRightInd/>
        <w:snapToGrid/>
        <w:spacing w:line="560" w:lineRule="exact"/>
        <w:ind w:left="660" w:right="0" w:rightChars="0"/>
        <w:textAlignment w:val="auto"/>
        <w:outlineLvl w:val="9"/>
        <w:rPr>
          <w:rFonts w:asciiTheme="minorEastAsia" w:hAnsiTheme="minorEastAsia"/>
          <w:sz w:val="32"/>
          <w:szCs w:val="32"/>
        </w:rPr>
      </w:pPr>
    </w:p>
    <w:p>
      <w:pPr>
        <w:pStyle w:val="9"/>
        <w:keepNext w:val="0"/>
        <w:keepLines w:val="0"/>
        <w:pageBreakBefore w:val="0"/>
        <w:widowControl w:val="0"/>
        <w:numPr>
          <w:ilvl w:val="0"/>
          <w:numId w:val="2"/>
        </w:numPr>
        <w:kinsoku/>
        <w:wordWrap/>
        <w:overflowPunct/>
        <w:topLinePunct w:val="0"/>
        <w:autoSpaceDE/>
        <w:autoSpaceDN/>
        <w:bidi w:val="0"/>
        <w:adjustRightInd/>
        <w:snapToGrid/>
        <w:spacing w:line="560" w:lineRule="exact"/>
        <w:ind w:left="660" w:leftChars="0" w:right="0" w:rightChars="0"/>
        <w:jc w:val="left"/>
        <w:textAlignment w:val="auto"/>
        <w:outlineLvl w:val="9"/>
        <w:rPr>
          <w:rFonts w:hint="eastAsia" w:asciiTheme="minorEastAsia" w:hAnsiTheme="minorEastAsia" w:cstheme="minorBidi"/>
          <w:b/>
          <w:bCs/>
          <w:kern w:val="2"/>
          <w:sz w:val="32"/>
          <w:szCs w:val="32"/>
          <w:lang w:val="en-US" w:eastAsia="zh-CN" w:bidi="ar-SA"/>
        </w:rPr>
      </w:pPr>
      <w:r>
        <w:rPr>
          <w:rFonts w:hint="eastAsia" w:asciiTheme="minorEastAsia" w:hAnsiTheme="minorEastAsia" w:cstheme="minorBidi"/>
          <w:b/>
          <w:bCs/>
          <w:kern w:val="2"/>
          <w:sz w:val="32"/>
          <w:szCs w:val="32"/>
          <w:lang w:val="en-US" w:eastAsia="zh-CN" w:bidi="ar-SA"/>
        </w:rPr>
        <w:t xml:space="preserve">分   </w:t>
      </w:r>
      <w:r>
        <w:rPr>
          <w:rFonts w:hint="eastAsia" w:asciiTheme="minorEastAsia" w:hAnsiTheme="minorEastAsia" w:cstheme="minorBidi"/>
          <w:b/>
          <w:bCs/>
          <w:kern w:val="2"/>
          <w:sz w:val="32"/>
          <w:szCs w:val="32"/>
          <w:lang w:val="en-US" w:eastAsia="zh-CN" w:bidi="ar-SA"/>
        </w:rPr>
        <w:t>市委宣传部2017年部门</w:t>
      </w:r>
      <w:r>
        <w:rPr>
          <w:rFonts w:hint="eastAsia" w:asciiTheme="minorEastAsia" w:hAnsiTheme="minorEastAsia" w:eastAsiaTheme="minorEastAsia" w:cstheme="minorBidi"/>
          <w:b/>
          <w:bCs/>
          <w:kern w:val="2"/>
          <w:sz w:val="32"/>
          <w:szCs w:val="32"/>
          <w:lang w:val="en-US" w:eastAsia="zh-CN" w:bidi="ar-SA"/>
        </w:rPr>
        <w:t>预算情况</w:t>
      </w:r>
      <w:r>
        <w:rPr>
          <w:rFonts w:hint="eastAsia" w:asciiTheme="minorEastAsia" w:hAnsiTheme="minorEastAsia" w:cstheme="minorBidi"/>
          <w:b/>
          <w:bCs/>
          <w:kern w:val="2"/>
          <w:sz w:val="32"/>
          <w:szCs w:val="32"/>
          <w:lang w:val="en-US" w:eastAsia="zh-CN" w:bidi="ar-SA"/>
        </w:rPr>
        <w:t>说明</w:t>
      </w:r>
    </w:p>
    <w:p>
      <w:pPr>
        <w:pStyle w:val="9"/>
        <w:keepNext w:val="0"/>
        <w:keepLines w:val="0"/>
        <w:pageBreakBefore w:val="0"/>
        <w:widowControl w:val="0"/>
        <w:numPr>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cstheme="minorBidi"/>
          <w:kern w:val="2"/>
          <w:sz w:val="32"/>
          <w:szCs w:val="32"/>
          <w:lang w:val="en-US" w:eastAsia="zh-CN" w:bidi="ar-SA"/>
        </w:rPr>
      </w:pPr>
    </w:p>
    <w:p>
      <w:pPr>
        <w:pStyle w:val="9"/>
        <w:keepNext w:val="0"/>
        <w:keepLines w:val="0"/>
        <w:pageBreakBefore w:val="0"/>
        <w:widowControl w:val="0"/>
        <w:numPr>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cstheme="minorBidi"/>
          <w:kern w:val="2"/>
          <w:sz w:val="32"/>
          <w:szCs w:val="32"/>
          <w:lang w:val="en-US" w:eastAsia="zh-CN" w:bidi="ar-SA"/>
        </w:rPr>
        <w:t>一、市委宣传部2017年</w:t>
      </w:r>
      <w:r>
        <w:rPr>
          <w:rFonts w:hint="eastAsia" w:asciiTheme="minorEastAsia" w:hAnsiTheme="minorEastAsia" w:eastAsiaTheme="minorEastAsia" w:cstheme="minorBidi"/>
          <w:kern w:val="2"/>
          <w:sz w:val="32"/>
          <w:szCs w:val="32"/>
          <w:lang w:val="en-US" w:eastAsia="zh-CN" w:bidi="ar-SA"/>
        </w:rPr>
        <w:t>预算收支总体情况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6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按照预算管理有关规定，目前部门预算的编制实行综合预算制度，市本级财政全部收入和支出都反映在预算中。2017年，中共梅州市委宣传部收入预算为14,232,269.82元，其中：一般公共预算拨款14,232,269.82元。相应安排支出预算14,232,269.82元,其中：基本支出－工资福利、对个人和家庭的补助支出、一般商品和服务支出4,348,569.82元；项目支出 9,883,700.00元。2016年收入预算13051331.8元，支出预算13051331.8元，2017年度预算收支相比2016年度预算收支增加1180938.02元，增长9.05%，主要原因是工资福利等人员经费减少，项目经费增加2000000元。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二、关于2017年一般公共预算拨款情况说明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（一）一般公共预算拨款规模变化情况。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市委宣传部2017年一般公共预算拨款14,232,269.82元，比2016年执行数20,952,375.69元减少6720105.87元，主要是按照盘活存量资金的要求，加大结余资金消化力度，2017年部分开支动用以前年度财政拨款结转结余资金安排，财政拨款预算相应减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（二）一般公共预算拨款结构情况。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一般公共服务（类）支出9,447,787.00元，占66.38%；文化体育与传媒3900000元，占27.40%社会保障和就业（类）支出194,677.20元，占1.37%；医疗卫生（类）支出19,665.62元，占0.14%；住房保障（类）支出670140万元，占4.71%。</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（三）一般公共预算拨款具体使用情况。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1.一般公共服务（类）宣传事务（款）行政运行（项）2017年预算数为2,760,692元，比2016年执行数3,096,195.00元减少335503万元，下降10.84%，主要是人员变动，财政拨款预算相应减少。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2.一般公共服务（类）宣传事务（款）一般行政管理事务（项）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2017年预算数为5,983,700元，比2016年执行数8,017,487.07元减少2033787.07元，下降25.37%，主要是按照盘活存量资金的要求，加大结余资金消化力度，2017年部分开支动用以前年度财政拨款结转结余资金安排，财政拨款预算相应减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3.一般公共服务（类）宣传事务（款）事业运行（项）。2017年预算数为703,395元，比2016年执行数773,142.00元减少69747元，减少9.02%，主要是人员减少、工资制度改革调资，财政拨款预算相应减少。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4.一般公共服务（类）财政事务（款）文化体育与传媒支出（项）。2017年预算数为390万元，比2016年执行数减少620万元，下降55.86%，主要是按照盘活存量资金的要求，加大结余资金消化力度，2017年部分开支动用以前年度财政拨款结转结余资金安排，财政拨款预算相应减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5.社会保障和就业（类）行政事业单位离退休（款）归口管理的行政（事业）单位离退休（项）。2017年预算数为194,677.20元，比2016年执行数减少16540万元，下降5.13%，主要是人员变动，财政拨款预算相应减少。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6. 医疗卫生与计划生育支出（类）医疗保障（款）行政事业单位医疗（项）。2017年预算数为19,665.62元，比2016年执行数79,346.79减少59681.17元，减少75.22%，主要是人员变动，财政拨款预算相应减少。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7.住房保障（类）住房改革支出（款）住房公积金（项）。2017年预算数为288,540元，比2016年执行数247,310.00元增加41230元，增长16.67%，主要是住房公积金缴存比例提高，财政拨款预算相应增加。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8、住房保障（类）城乡社区住宅（款）其他城乡社区住宅支出（项）。2017年预算数为381,600元，比2016年执行数208,440.00元增加173160元，增长83.07%，主要是增加住房维修和物业补贴，财政拨款预算相应增加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三、关于2017年度一般预算基本支出情况说明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市委宣传部2017年一般公共预算基本支出4,348,569.82元。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其中：人员经费3527080.32元，工资福利支出2,638,719.00元。主要用于在职人员工资福利、绩效工资等支出。对个人和家庭的补助支出888,361.82元。主要用于离退休费、住房公积金等支出。主要包括：基本工资、津贴补帖、奖金、社会保障缴费 、伙食补助费、绩效工资、其他工资福利支出、离休费、退休费、抚恤金、生活补助、医疗费、奖励金、住房公积金、提租补贴、购房补贴、物业服务补贴、 其他对个人和家庭的补助支出。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公用经费821,489.00元，主要包括：办公费、印刷费、咨询费、手续费、水费、电费、邮电费、物业管理费、差旅费、因公出国（境）费、维修（护）费、租赁费、会议费、培训费、公务接待费、专用材料费、劳务费、委托业务费、工会经费、福利费、公务用车运行维护费、其他交通费用、其他商品和服务支出、办公设备购置、专用设备购置、信息网络及软件购置更新、其他资本性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四、关于2017年度一般预算拨款项目支出情况说明</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项目支出9,883,700.00元。主要用于宣传思想文化等方面项目支出。</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60" w:leftChars="0" w:right="0" w:rightChars="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五、一般公共预算“三公”经费支出情况</w:t>
      </w:r>
    </w:p>
    <w:p>
      <w:pPr>
        <w:pStyle w:val="9"/>
        <w:keepNext w:val="0"/>
        <w:keepLines w:val="0"/>
        <w:pageBreakBefore w:val="0"/>
        <w:widowControl w:val="0"/>
        <w:numPr>
          <w:ilvl w:val="0"/>
          <w:numId w:val="3"/>
        </w:numPr>
        <w:kinsoku/>
        <w:wordWrap/>
        <w:overflowPunct/>
        <w:topLinePunct w:val="0"/>
        <w:autoSpaceDE/>
        <w:autoSpaceDN/>
        <w:bidi w:val="0"/>
        <w:adjustRightInd/>
        <w:snapToGrid/>
        <w:spacing w:line="560" w:lineRule="exact"/>
        <w:ind w:right="0" w:rightChars="0" w:firstLineChars="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因公出国（境）经费</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2017年预算安排因公出国（境）经费50,000.00元。主要用于对外宣传、文化交流工作等方面因公出国（境）费用支出，与2016年度预算数持平。</w:t>
      </w:r>
    </w:p>
    <w:p>
      <w:pPr>
        <w:pStyle w:val="9"/>
        <w:keepNext w:val="0"/>
        <w:keepLines w:val="0"/>
        <w:pageBreakBefore w:val="0"/>
        <w:widowControl w:val="0"/>
        <w:numPr>
          <w:ilvl w:val="0"/>
          <w:numId w:val="3"/>
        </w:numPr>
        <w:kinsoku/>
        <w:wordWrap/>
        <w:overflowPunct/>
        <w:topLinePunct w:val="0"/>
        <w:autoSpaceDE/>
        <w:autoSpaceDN/>
        <w:bidi w:val="0"/>
        <w:adjustRightInd/>
        <w:snapToGrid/>
        <w:spacing w:line="560" w:lineRule="exact"/>
        <w:ind w:right="0" w:rightChars="0" w:firstLineChars="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公务接待费</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2017年预算安排公务接待费70,000.00元，其中宣传部50,000.00元,讲师团20,000.00元。主要用于上级部门调研、兄弟市相关单位来梅交流等方面的接待活动，与2016年度预算数持平。</w:t>
      </w:r>
    </w:p>
    <w:p>
      <w:pPr>
        <w:pStyle w:val="9"/>
        <w:keepNext w:val="0"/>
        <w:keepLines w:val="0"/>
        <w:pageBreakBefore w:val="0"/>
        <w:widowControl w:val="0"/>
        <w:numPr>
          <w:ilvl w:val="0"/>
          <w:numId w:val="3"/>
        </w:numPr>
        <w:kinsoku/>
        <w:wordWrap/>
        <w:overflowPunct/>
        <w:topLinePunct w:val="0"/>
        <w:autoSpaceDE/>
        <w:autoSpaceDN/>
        <w:bidi w:val="0"/>
        <w:adjustRightInd/>
        <w:snapToGrid/>
        <w:spacing w:line="560" w:lineRule="exact"/>
        <w:ind w:right="0" w:rightChars="0" w:firstLineChars="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公务用车购置及运行维护费</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2017年预算安排公务用车购置及运行维护费50,000.00元。主要用于宣传部1部公务用车费用25,000.00元,互联网新闻信息中心1部公务用车25,000.00元，与2016年度预算数持平。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五、关于2017年政府性基金预算支出情况的说明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市委宣传部2017年没有使用政府性基金预算拨款安排的支出。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六、关于市财政局2017年收支预算情况的总体说明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按照综合预算的原则，市委宣传部所有收入和支出纳入部门预算管理。收入包括：一般公共预算拨款收入；支出包括：一般公共服务支出、社会保障和就业支出、医疗卫生与计划生育支出、节能环保支出、住房保障支出等。本年收入预算合计14,232,269.82元。2017年度收入预算为14,232,269.82元，2016年收入预算为13051331.8元，2017年度预算收支相比2016年度预算收支增加1180938.02元，主要原因是工资福利等人员经费减少，项目经费增加2000000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七、关于市财政局2017年收入预算情况说明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本年收入预算合计14,232,269.82元，其中：财政拨款收入14,232,269.82元，占100%。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八、关于市财政局2017年支出预算情况说明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本年支出预算合计14,232,269.82元，其中：基本支出4,348,569.82元，占30.55%；项目支出9,883,700.00元，占69.45%。</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60" w:leftChars="0" w:right="0" w:rightChars="0"/>
        <w:textAlignment w:val="auto"/>
        <w:outlineLvl w:val="9"/>
        <w:rPr>
          <w:rFonts w:hint="eastAsia" w:asciiTheme="minorEastAsia" w:hAnsiTheme="minorEastAsia" w:eastAsiaTheme="minorEastAsia" w:cstheme="minorBidi"/>
          <w:kern w:val="2"/>
          <w:sz w:val="32"/>
          <w:szCs w:val="32"/>
          <w:lang w:val="en-US" w:eastAsia="zh-CN" w:bidi="ar-SA"/>
        </w:rPr>
      </w:pPr>
      <w:r>
        <w:rPr>
          <w:rFonts w:hint="eastAsia" w:asciiTheme="minorEastAsia" w:hAnsiTheme="minorEastAsia" w:eastAsiaTheme="minorEastAsia" w:cstheme="minorBidi"/>
          <w:kern w:val="2"/>
          <w:sz w:val="32"/>
          <w:szCs w:val="32"/>
          <w:lang w:val="en-US" w:eastAsia="zh-CN" w:bidi="ar-SA"/>
        </w:rPr>
        <w:t>九、其他事项说明</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（一）预算收支增减变化情况。2017年度收入预算为14,232,269.82元，2016年收入预算为13051331.8元，2017年度预算收支相比2016年度预算收支增加1180938.02元，主要原因是工资福利等人员经费减少，项目经费增加2000000元。</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（二）机关运行经费安排说明。机关运行经费按定额标准一般行政机关2000元/人月、参公事业单位1800元/人月、全额拨款事业单位500元/人月，由财政分月计算拨给。</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（三）政府采购情况安排。政府采购办公设备</w:t>
      </w:r>
      <w:r>
        <w:rPr>
          <w:rFonts w:hint="eastAsia" w:asciiTheme="minorEastAsia" w:hAnsiTheme="minorEastAsia"/>
          <w:sz w:val="32"/>
          <w:szCs w:val="32"/>
          <w:lang w:val="en-US" w:eastAsia="zh-CN"/>
        </w:rPr>
        <w:t>5万元，包括台式计算机、打印机、一体机等</w:t>
      </w:r>
      <w:r>
        <w:rPr>
          <w:rFonts w:hint="eastAsia" w:asciiTheme="minorEastAsia" w:hAnsiTheme="minorEastAsia"/>
          <w:sz w:val="32"/>
          <w:szCs w:val="32"/>
        </w:rPr>
        <w:t>，主要列在其他资本性支出，在公用经费中列支。</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（四）专项经费根据项目需要、用款计划专款专用，实行国库集中支付，按项目分类单列核算。</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（五）“三公”减少的原因是严格执行中央八项规定，厉行节约，反对浪费。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sz w:val="32"/>
          <w:szCs w:val="32"/>
        </w:rPr>
      </w:pPr>
      <w:r>
        <w:rPr>
          <w:rFonts w:hint="eastAsia" w:asciiTheme="minorEastAsia" w:hAnsiTheme="minorEastAsia"/>
          <w:sz w:val="32"/>
          <w:szCs w:val="32"/>
        </w:rPr>
        <w:t>（</w:t>
      </w:r>
      <w:r>
        <w:rPr>
          <w:rFonts w:hint="eastAsia" w:asciiTheme="minorEastAsia" w:hAnsiTheme="minorEastAsia"/>
          <w:sz w:val="32"/>
          <w:szCs w:val="32"/>
          <w:lang w:eastAsia="zh-CN"/>
        </w:rPr>
        <w:t>六</w:t>
      </w:r>
      <w:r>
        <w:rPr>
          <w:rFonts w:hint="eastAsia" w:asciiTheme="minorEastAsia" w:hAnsiTheme="minorEastAsia"/>
          <w:sz w:val="32"/>
          <w:szCs w:val="32"/>
        </w:rPr>
        <w:t>）国有资产占有使用情况。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sz w:val="32"/>
          <w:szCs w:val="32"/>
        </w:rPr>
      </w:pPr>
      <w:r>
        <w:rPr>
          <w:rFonts w:hint="eastAsia" w:asciiTheme="minorEastAsia" w:hAnsiTheme="minorEastAsia"/>
          <w:sz w:val="32"/>
          <w:szCs w:val="32"/>
        </w:rPr>
        <w:t>2017年市</w:t>
      </w:r>
      <w:r>
        <w:rPr>
          <w:rFonts w:hint="eastAsia" w:asciiTheme="minorEastAsia" w:hAnsiTheme="minorEastAsia"/>
          <w:sz w:val="32"/>
          <w:szCs w:val="32"/>
          <w:lang w:eastAsia="zh-CN"/>
        </w:rPr>
        <w:t>委宣传部</w:t>
      </w:r>
      <w:r>
        <w:rPr>
          <w:rFonts w:hint="eastAsia" w:asciiTheme="minorEastAsia" w:hAnsiTheme="minorEastAsia"/>
          <w:sz w:val="32"/>
          <w:szCs w:val="32"/>
        </w:rPr>
        <w:t>共有车辆</w:t>
      </w:r>
      <w:r>
        <w:rPr>
          <w:rFonts w:hint="eastAsia" w:asciiTheme="minorEastAsia" w:hAnsiTheme="minorEastAsia"/>
          <w:sz w:val="32"/>
          <w:szCs w:val="32"/>
          <w:lang w:val="en-US" w:eastAsia="zh-CN"/>
        </w:rPr>
        <w:t>2</w:t>
      </w:r>
      <w:r>
        <w:rPr>
          <w:rFonts w:hint="eastAsia" w:asciiTheme="minorEastAsia" w:hAnsiTheme="minorEastAsia"/>
          <w:sz w:val="32"/>
          <w:szCs w:val="32"/>
        </w:rPr>
        <w:t>辆，均为一般公务用车,与2016年</w:t>
      </w:r>
      <w:r>
        <w:rPr>
          <w:rFonts w:hint="eastAsia" w:asciiTheme="minorEastAsia" w:hAnsiTheme="minorEastAsia"/>
          <w:sz w:val="32"/>
          <w:szCs w:val="32"/>
          <w:lang w:eastAsia="zh-CN"/>
        </w:rPr>
        <w:t>相比减少</w:t>
      </w:r>
      <w:r>
        <w:rPr>
          <w:rFonts w:hint="eastAsia" w:asciiTheme="minorEastAsia" w:hAnsiTheme="minorEastAsia"/>
          <w:sz w:val="32"/>
          <w:szCs w:val="32"/>
          <w:lang w:val="en-US" w:eastAsia="zh-CN"/>
        </w:rPr>
        <w:t>2辆</w:t>
      </w:r>
      <w:r>
        <w:rPr>
          <w:rFonts w:hint="eastAsia" w:asciiTheme="minorEastAsia" w:hAnsiTheme="minorEastAsia"/>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sz w:val="32"/>
          <w:szCs w:val="32"/>
        </w:rPr>
      </w:pPr>
      <w:r>
        <w:rPr>
          <w:rFonts w:hint="eastAsia" w:asciiTheme="minorEastAsia" w:hAnsiTheme="minorEastAsia"/>
          <w:sz w:val="32"/>
          <w:szCs w:val="32"/>
        </w:rPr>
        <w:t>（</w:t>
      </w:r>
      <w:r>
        <w:rPr>
          <w:rFonts w:hint="eastAsia" w:asciiTheme="minorEastAsia" w:hAnsiTheme="minorEastAsia"/>
          <w:sz w:val="32"/>
          <w:szCs w:val="32"/>
          <w:lang w:eastAsia="zh-CN"/>
        </w:rPr>
        <w:t>七</w:t>
      </w:r>
      <w:r>
        <w:rPr>
          <w:rFonts w:hint="eastAsia" w:asciiTheme="minorEastAsia" w:hAnsiTheme="minorEastAsia"/>
          <w:sz w:val="32"/>
          <w:szCs w:val="32"/>
        </w:rPr>
        <w:t>）绩效目标设置情况。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Theme="minorEastAsia" w:hAnsiTheme="minorEastAsia"/>
          <w:sz w:val="32"/>
          <w:szCs w:val="32"/>
        </w:rPr>
      </w:pPr>
      <w:r>
        <w:rPr>
          <w:rFonts w:hint="eastAsia" w:asciiTheme="minorEastAsia" w:hAnsiTheme="minorEastAsia"/>
          <w:sz w:val="32"/>
          <w:szCs w:val="32"/>
        </w:rPr>
        <w:t>市</w:t>
      </w:r>
      <w:r>
        <w:rPr>
          <w:rFonts w:hint="eastAsia" w:asciiTheme="minorEastAsia" w:hAnsiTheme="minorEastAsia"/>
          <w:sz w:val="32"/>
          <w:szCs w:val="32"/>
          <w:lang w:eastAsia="zh-CN"/>
        </w:rPr>
        <w:t>委宣传部</w:t>
      </w:r>
      <w:r>
        <w:rPr>
          <w:rFonts w:hint="eastAsia" w:asciiTheme="minorEastAsia" w:hAnsiTheme="minorEastAsia"/>
          <w:sz w:val="32"/>
          <w:szCs w:val="32"/>
        </w:rPr>
        <w:t>2017年未设置绩效目标。</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60" w:leftChars="0" w:right="0" w:rightChars="0"/>
        <w:jc w:val="center"/>
        <w:textAlignment w:val="auto"/>
        <w:outlineLvl w:val="9"/>
        <w:rPr>
          <w:rFonts w:asciiTheme="minorEastAsia" w:hAnsiTheme="minorEastAsia"/>
          <w:b/>
          <w:sz w:val="32"/>
          <w:szCs w:val="32"/>
        </w:rPr>
      </w:pPr>
      <w:r>
        <w:rPr>
          <w:rFonts w:hint="eastAsia" w:asciiTheme="minorEastAsia" w:hAnsiTheme="minorEastAsia"/>
          <w:b/>
          <w:bCs w:val="0"/>
          <w:sz w:val="32"/>
          <w:szCs w:val="32"/>
          <w:lang w:eastAsia="zh-CN"/>
        </w:rPr>
        <w:t>第三部分</w:t>
      </w:r>
      <w:r>
        <w:rPr>
          <w:rFonts w:hint="eastAsia" w:asciiTheme="minorEastAsia" w:hAnsiTheme="minorEastAsia"/>
          <w:b/>
          <w:bCs w:val="0"/>
          <w:sz w:val="32"/>
          <w:szCs w:val="32"/>
          <w:lang w:val="en-US" w:eastAsia="zh-CN"/>
        </w:rPr>
        <w:t xml:space="preserve">   </w:t>
      </w:r>
      <w:r>
        <w:rPr>
          <w:rFonts w:hint="eastAsia" w:asciiTheme="minorEastAsia" w:hAnsiTheme="minorEastAsia"/>
          <w:b/>
          <w:bCs w:val="0"/>
          <w:sz w:val="32"/>
          <w:szCs w:val="32"/>
        </w:rPr>
        <w:t>专业性较强的名词解释</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（一）公共预算拨款：指单位本年度本级财政预算拨款。</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（二）一般公共服务（类）宣传事务（款）行政运行（项）：指行政单位（包括实行公务员管理的事业单位）的基本支出。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（三）一般公共服务（类）宣传事务（款）事业运行（项）：指事业单位，不包括行政单位（包括实行公务员管理的事业单位）的基本支出。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（四）一般公共服务（类）宣传事务（款）一般行政管理事务（项）：指行政单位（包括实行公务员管理的事业单位）未单独设置项级科目的其他项目支出。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（五）文化体育与传媒支出（类）其他文化体育与传媒支出（款）其他文化体育与传媒支出（项）：指其他用于文化体育与传媒方面的支出。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（六）社会保障和就业支出（类）行政事业单位离退休（款）归口管理的行政单位离退休（项）：指实行归口管理的行政单位（包括实行公务员管理的事业单位）开支的离退休支出。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七）医疗卫生与计划生育支出（类）医疗保障（款）行政单位医疗（项）：指财政部门集中安排的行政单位基本医疗保险缴费经费，未参加医疗保险的行政单位的公费医疗经费，按国家规定享受离休人员、红军老战士待遇人员的医疗经费。</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八）医疗卫生与计划生育支出（类）医疗保障（款）事业单位医疗（项）：指财政部门集中安排的事业单位基本医疗保险缴费经费，未参加医疗保险的行政单位的公费医疗经费，按国家规定享受离休人员待遇人员的医疗经费。</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（九）住房保障支出（类）住房改革支出（款）住房公积金</w:t>
      </w:r>
      <w:r>
        <w:rPr>
          <w:rFonts w:hint="eastAsia" w:asciiTheme="minorEastAsia" w:hAnsiTheme="minorEastAsia"/>
          <w:sz w:val="32"/>
          <w:szCs w:val="32"/>
        </w:rPr>
        <w:tab/>
      </w:r>
      <w:r>
        <w:rPr>
          <w:rFonts w:hint="eastAsia" w:asciiTheme="minorEastAsia" w:hAnsiTheme="minorEastAsia"/>
          <w:sz w:val="32"/>
          <w:szCs w:val="32"/>
        </w:rPr>
        <w:t>（项）：指行政事业单位按人力资源和社会保障部、财政部规定的基本工资和津贴补贴以及规定比例为职工缴纳的住房公积金。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（十）城乡社区住宅（款）其他城乡社区住宅支出（项）：指行政事业单位在职人员和离退休人员住房维修和物业管理补贴。</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（十二）项目支出：指在基本支出之外为完成特定的行政任务或事业发展目标所发生的支出。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十三）“三公”经费：指市级部门用一般公共预算财政拨款安排的因公出国（境）费、公务用车购置及运行费和公务接待费。其中，因公出国（境）费指单位公务出国（境）的住宿费、差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Theme="minorEastAsia" w:hAnsiTheme="minorEastAsia"/>
          <w:sz w:val="32"/>
          <w:szCs w:val="32"/>
        </w:rPr>
      </w:pPr>
      <w:r>
        <w:rPr>
          <w:rFonts w:hint="eastAsia" w:asciiTheme="minorEastAsia" w:hAnsiTheme="minorEastAsia"/>
          <w:sz w:val="32"/>
          <w:szCs w:val="32"/>
        </w:rPr>
        <w:t>（十四）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32"/>
          <w:szCs w:val="32"/>
        </w:rPr>
      </w:pPr>
      <w:r>
        <w:rPr>
          <w:rFonts w:hint="eastAsia" w:asciiTheme="minorEastAsia" w:hAnsiTheme="minorEastAsia"/>
          <w:sz w:val="32"/>
          <w:szCs w:val="32"/>
        </w:rPr>
        <w:t>附件：1. 收支预算总表</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32"/>
          <w:szCs w:val="32"/>
        </w:rPr>
      </w:pPr>
      <w:r>
        <w:rPr>
          <w:rFonts w:hint="eastAsia" w:asciiTheme="minorEastAsia" w:hAnsiTheme="minorEastAsia"/>
          <w:sz w:val="32"/>
          <w:szCs w:val="32"/>
        </w:rPr>
        <w:t>　　　2. 基本支出预算表――工资福利支出、对个人和家庭的补助支出预算表</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32"/>
          <w:szCs w:val="32"/>
        </w:rPr>
      </w:pPr>
      <w:r>
        <w:rPr>
          <w:rFonts w:hint="eastAsia" w:asciiTheme="minorEastAsia" w:hAnsiTheme="minorEastAsia"/>
          <w:sz w:val="32"/>
          <w:szCs w:val="32"/>
        </w:rPr>
        <w:t>　　　3. 商品和服务支出表</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32"/>
          <w:szCs w:val="32"/>
        </w:rPr>
      </w:pPr>
      <w:r>
        <w:rPr>
          <w:rFonts w:hint="eastAsia" w:asciiTheme="minorEastAsia" w:hAnsiTheme="minorEastAsia"/>
          <w:sz w:val="32"/>
          <w:szCs w:val="32"/>
        </w:rPr>
        <w:t>　　　4. 项目支出预算表</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32"/>
          <w:szCs w:val="32"/>
        </w:rPr>
      </w:pPr>
      <w:r>
        <w:rPr>
          <w:rFonts w:hint="eastAsia" w:asciiTheme="minorEastAsia" w:hAnsiTheme="minorEastAsia"/>
          <w:sz w:val="32"/>
          <w:szCs w:val="32"/>
        </w:rPr>
        <w:t>　　　5. 公共财政预算拨款支出预算表</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Theme="minorEastAsia" w:hAnsiTheme="minorEastAsia"/>
          <w:sz w:val="32"/>
          <w:szCs w:val="32"/>
        </w:rPr>
      </w:pPr>
      <w:r>
        <w:rPr>
          <w:rFonts w:hint="eastAsia" w:asciiTheme="minorEastAsia" w:hAnsiTheme="minorEastAsia"/>
          <w:sz w:val="32"/>
          <w:szCs w:val="32"/>
        </w:rPr>
        <w:t>　　　6. 2017年“三公”经费预算财政拨款情况统计表（含项目）</w:t>
      </w:r>
    </w:p>
    <w:bookmarkEnd w:id="0"/>
    <w:sectPr>
      <w:footerReference r:id="rId3" w:type="default"/>
      <w:pgSz w:w="11906" w:h="16838"/>
      <w:pgMar w:top="1440" w:right="1633" w:bottom="1440" w:left="163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916547"/>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552325"/>
    <w:multiLevelType w:val="multilevel"/>
    <w:tmpl w:val="57552325"/>
    <w:lvl w:ilvl="0" w:tentative="0">
      <w:start w:val="1"/>
      <w:numFmt w:val="japaneseCounting"/>
      <w:lvlText w:val="%1、"/>
      <w:lvlJc w:val="left"/>
      <w:pPr>
        <w:ind w:left="1380" w:hanging="720"/>
      </w:pPr>
      <w:rPr>
        <w:rFonts w:hint="default"/>
      </w:rPr>
    </w:lvl>
    <w:lvl w:ilvl="1" w:tentative="0">
      <w:start w:val="1"/>
      <w:numFmt w:val="lowerLetter"/>
      <w:lvlText w:val="%2)"/>
      <w:lvlJc w:val="left"/>
      <w:pPr>
        <w:ind w:left="1500" w:hanging="420"/>
      </w:pPr>
    </w:lvl>
    <w:lvl w:ilvl="2" w:tentative="0">
      <w:start w:val="1"/>
      <w:numFmt w:val="lowerRoman"/>
      <w:lvlText w:val="%3."/>
      <w:lvlJc w:val="right"/>
      <w:pPr>
        <w:ind w:left="1920" w:hanging="420"/>
      </w:pPr>
    </w:lvl>
    <w:lvl w:ilvl="3" w:tentative="0">
      <w:start w:val="1"/>
      <w:numFmt w:val="decimal"/>
      <w:lvlText w:val="%4."/>
      <w:lvlJc w:val="left"/>
      <w:pPr>
        <w:ind w:left="2340" w:hanging="420"/>
      </w:pPr>
    </w:lvl>
    <w:lvl w:ilvl="4" w:tentative="0">
      <w:start w:val="1"/>
      <w:numFmt w:val="lowerLetter"/>
      <w:lvlText w:val="%5)"/>
      <w:lvlJc w:val="left"/>
      <w:pPr>
        <w:ind w:left="2760" w:hanging="420"/>
      </w:pPr>
    </w:lvl>
    <w:lvl w:ilvl="5" w:tentative="0">
      <w:start w:val="1"/>
      <w:numFmt w:val="lowerRoman"/>
      <w:lvlText w:val="%6."/>
      <w:lvlJc w:val="right"/>
      <w:pPr>
        <w:ind w:left="3180" w:hanging="420"/>
      </w:pPr>
    </w:lvl>
    <w:lvl w:ilvl="6" w:tentative="0">
      <w:start w:val="1"/>
      <w:numFmt w:val="decimal"/>
      <w:lvlText w:val="%7."/>
      <w:lvlJc w:val="left"/>
      <w:pPr>
        <w:ind w:left="3600" w:hanging="420"/>
      </w:pPr>
    </w:lvl>
    <w:lvl w:ilvl="7" w:tentative="0">
      <w:start w:val="1"/>
      <w:numFmt w:val="lowerLetter"/>
      <w:lvlText w:val="%8)"/>
      <w:lvlJc w:val="left"/>
      <w:pPr>
        <w:ind w:left="4020" w:hanging="420"/>
      </w:pPr>
    </w:lvl>
    <w:lvl w:ilvl="8" w:tentative="0">
      <w:start w:val="1"/>
      <w:numFmt w:val="lowerRoman"/>
      <w:lvlText w:val="%9."/>
      <w:lvlJc w:val="right"/>
      <w:pPr>
        <w:ind w:left="4440" w:hanging="420"/>
      </w:pPr>
    </w:lvl>
  </w:abstractNum>
  <w:abstractNum w:abstractNumId="1">
    <w:nsid w:val="59F9DCB3"/>
    <w:multiLevelType w:val="singleLevel"/>
    <w:tmpl w:val="59F9DCB3"/>
    <w:lvl w:ilvl="0" w:tentative="0">
      <w:start w:val="2"/>
      <w:numFmt w:val="chineseCounting"/>
      <w:suff w:val="nothing"/>
      <w:lvlText w:val="第%1部"/>
      <w:lvlJc w:val="left"/>
    </w:lvl>
  </w:abstractNum>
  <w:abstractNum w:abstractNumId="2">
    <w:nsid w:val="76823B63"/>
    <w:multiLevelType w:val="multilevel"/>
    <w:tmpl w:val="76823B63"/>
    <w:lvl w:ilvl="0" w:tentative="0">
      <w:start w:val="1"/>
      <w:numFmt w:val="japaneseCounting"/>
      <w:lvlText w:val="（%1）"/>
      <w:lvlJc w:val="left"/>
      <w:pPr>
        <w:ind w:left="1740" w:hanging="1080"/>
      </w:pPr>
      <w:rPr>
        <w:rFonts w:hint="default"/>
      </w:rPr>
    </w:lvl>
    <w:lvl w:ilvl="1" w:tentative="0">
      <w:start w:val="1"/>
      <w:numFmt w:val="lowerLetter"/>
      <w:lvlText w:val="%2)"/>
      <w:lvlJc w:val="left"/>
      <w:pPr>
        <w:ind w:left="1500" w:hanging="420"/>
      </w:pPr>
    </w:lvl>
    <w:lvl w:ilvl="2" w:tentative="0">
      <w:start w:val="1"/>
      <w:numFmt w:val="lowerRoman"/>
      <w:lvlText w:val="%3."/>
      <w:lvlJc w:val="right"/>
      <w:pPr>
        <w:ind w:left="1920" w:hanging="420"/>
      </w:pPr>
    </w:lvl>
    <w:lvl w:ilvl="3" w:tentative="0">
      <w:start w:val="1"/>
      <w:numFmt w:val="decimal"/>
      <w:lvlText w:val="%4."/>
      <w:lvlJc w:val="left"/>
      <w:pPr>
        <w:ind w:left="2340" w:hanging="420"/>
      </w:pPr>
    </w:lvl>
    <w:lvl w:ilvl="4" w:tentative="0">
      <w:start w:val="1"/>
      <w:numFmt w:val="lowerLetter"/>
      <w:lvlText w:val="%5)"/>
      <w:lvlJc w:val="left"/>
      <w:pPr>
        <w:ind w:left="2760" w:hanging="420"/>
      </w:pPr>
    </w:lvl>
    <w:lvl w:ilvl="5" w:tentative="0">
      <w:start w:val="1"/>
      <w:numFmt w:val="lowerRoman"/>
      <w:lvlText w:val="%6."/>
      <w:lvlJc w:val="right"/>
      <w:pPr>
        <w:ind w:left="3180" w:hanging="420"/>
      </w:pPr>
    </w:lvl>
    <w:lvl w:ilvl="6" w:tentative="0">
      <w:start w:val="1"/>
      <w:numFmt w:val="decimal"/>
      <w:lvlText w:val="%7."/>
      <w:lvlJc w:val="left"/>
      <w:pPr>
        <w:ind w:left="3600" w:hanging="420"/>
      </w:pPr>
    </w:lvl>
    <w:lvl w:ilvl="7" w:tentative="0">
      <w:start w:val="1"/>
      <w:numFmt w:val="lowerLetter"/>
      <w:lvlText w:val="%8)"/>
      <w:lvlJc w:val="left"/>
      <w:pPr>
        <w:ind w:left="4020" w:hanging="420"/>
      </w:pPr>
    </w:lvl>
    <w:lvl w:ilvl="8" w:tentative="0">
      <w:start w:val="1"/>
      <w:numFmt w:val="lowerRoman"/>
      <w:lvlText w:val="%9."/>
      <w:lvlJc w:val="right"/>
      <w:pPr>
        <w:ind w:left="444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E7B"/>
    <w:rsid w:val="000234CA"/>
    <w:rsid w:val="00025799"/>
    <w:rsid w:val="000305DA"/>
    <w:rsid w:val="000D3381"/>
    <w:rsid w:val="001414CC"/>
    <w:rsid w:val="00244D38"/>
    <w:rsid w:val="00244F60"/>
    <w:rsid w:val="00263E84"/>
    <w:rsid w:val="0029746B"/>
    <w:rsid w:val="002F5A14"/>
    <w:rsid w:val="002F6C55"/>
    <w:rsid w:val="0030341F"/>
    <w:rsid w:val="00332412"/>
    <w:rsid w:val="00381275"/>
    <w:rsid w:val="00386141"/>
    <w:rsid w:val="00391B29"/>
    <w:rsid w:val="003F67D5"/>
    <w:rsid w:val="004377E2"/>
    <w:rsid w:val="00477760"/>
    <w:rsid w:val="0048390F"/>
    <w:rsid w:val="0048519B"/>
    <w:rsid w:val="00490F19"/>
    <w:rsid w:val="00500676"/>
    <w:rsid w:val="00510513"/>
    <w:rsid w:val="00511D4A"/>
    <w:rsid w:val="00544431"/>
    <w:rsid w:val="005627A9"/>
    <w:rsid w:val="00566219"/>
    <w:rsid w:val="005C222E"/>
    <w:rsid w:val="005C5A12"/>
    <w:rsid w:val="005C6DEC"/>
    <w:rsid w:val="005D41F8"/>
    <w:rsid w:val="005F7293"/>
    <w:rsid w:val="00602330"/>
    <w:rsid w:val="00607D87"/>
    <w:rsid w:val="00620C3E"/>
    <w:rsid w:val="006775C1"/>
    <w:rsid w:val="00695A77"/>
    <w:rsid w:val="006F7673"/>
    <w:rsid w:val="00722C69"/>
    <w:rsid w:val="00746310"/>
    <w:rsid w:val="007623A2"/>
    <w:rsid w:val="00776604"/>
    <w:rsid w:val="00825CA6"/>
    <w:rsid w:val="008828A8"/>
    <w:rsid w:val="00884D50"/>
    <w:rsid w:val="0091367E"/>
    <w:rsid w:val="00934539"/>
    <w:rsid w:val="0094018A"/>
    <w:rsid w:val="009864D2"/>
    <w:rsid w:val="009A440A"/>
    <w:rsid w:val="009C194D"/>
    <w:rsid w:val="00A2679C"/>
    <w:rsid w:val="00A43BD2"/>
    <w:rsid w:val="00AA7DF8"/>
    <w:rsid w:val="00AC5A78"/>
    <w:rsid w:val="00AD20EA"/>
    <w:rsid w:val="00AE48E3"/>
    <w:rsid w:val="00B06E7B"/>
    <w:rsid w:val="00B140EA"/>
    <w:rsid w:val="00B5513E"/>
    <w:rsid w:val="00B82FF4"/>
    <w:rsid w:val="00BC02D9"/>
    <w:rsid w:val="00C00E0D"/>
    <w:rsid w:val="00C35542"/>
    <w:rsid w:val="00C44B91"/>
    <w:rsid w:val="00C764FC"/>
    <w:rsid w:val="00CB666F"/>
    <w:rsid w:val="00CF4AA7"/>
    <w:rsid w:val="00D12A3A"/>
    <w:rsid w:val="00D17048"/>
    <w:rsid w:val="00D32D84"/>
    <w:rsid w:val="00D50E92"/>
    <w:rsid w:val="00D53622"/>
    <w:rsid w:val="00D644C4"/>
    <w:rsid w:val="00DA26B6"/>
    <w:rsid w:val="00DB2C32"/>
    <w:rsid w:val="00DD7A3E"/>
    <w:rsid w:val="00DE199C"/>
    <w:rsid w:val="00DF017C"/>
    <w:rsid w:val="00E1216E"/>
    <w:rsid w:val="00EE100B"/>
    <w:rsid w:val="00EE6A11"/>
    <w:rsid w:val="00EF75AA"/>
    <w:rsid w:val="00F2287B"/>
    <w:rsid w:val="00F430AF"/>
    <w:rsid w:val="00F51645"/>
    <w:rsid w:val="00F723BA"/>
    <w:rsid w:val="00F8157B"/>
    <w:rsid w:val="00FE437D"/>
    <w:rsid w:val="00FE4ADB"/>
    <w:rsid w:val="04947662"/>
    <w:rsid w:val="084608BA"/>
    <w:rsid w:val="11470BE7"/>
    <w:rsid w:val="134737BC"/>
    <w:rsid w:val="29743F14"/>
    <w:rsid w:val="2C85216A"/>
    <w:rsid w:val="400B0DAD"/>
    <w:rsid w:val="49C939E9"/>
    <w:rsid w:val="5FB14D22"/>
    <w:rsid w:val="65CD0F07"/>
    <w:rsid w:val="70C76163"/>
    <w:rsid w:val="70D8281F"/>
    <w:rsid w:val="73241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ind w:firstLine="420" w:firstLineChars="200"/>
    </w:pPr>
  </w:style>
  <w:style w:type="character" w:customStyle="1" w:styleId="10">
    <w:name w:val="页眉 Char"/>
    <w:basedOn w:val="6"/>
    <w:link w:val="4"/>
    <w:qFormat/>
    <w:uiPriority w:val="99"/>
    <w:rPr>
      <w:sz w:val="18"/>
      <w:szCs w:val="18"/>
    </w:rPr>
  </w:style>
  <w:style w:type="character" w:customStyle="1" w:styleId="11">
    <w:name w:val="页脚 Char"/>
    <w:basedOn w:val="6"/>
    <w:link w:val="3"/>
    <w:qFormat/>
    <w:uiPriority w:val="99"/>
    <w:rPr>
      <w:sz w:val="18"/>
      <w:szCs w:val="18"/>
    </w:rPr>
  </w:style>
  <w:style w:type="character" w:customStyle="1" w:styleId="12">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8</Pages>
  <Words>524</Words>
  <Characters>2989</Characters>
  <Lines>24</Lines>
  <Paragraphs>7</Paragraphs>
  <ScaleCrop>false</ScaleCrop>
  <LinksUpToDate>false</LinksUpToDate>
  <CharactersWithSpaces>3506</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2017-01-24T01:44:00Z</dcterms:created>
  <dc:creator>MZXL</dc:creator>
  <cp:lastModifiedBy>Administrator</cp:lastModifiedBy>
  <cp:lastPrinted>2017-01-24T02:06:00Z</cp:lastPrinted>
  <dcterms:modified xsi:type="dcterms:W3CDTF">2017-11-01T14:40:49Z</dcterms:modified>
  <cp:revision>679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