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Theme="majorEastAsia" w:eastAsiaTheme="majorEastAsia" w:hAnsiTheme="majorEastAsia" w:cstheme="majorEastAsia"/>
          <w:b/>
          <w:kern w:val="0"/>
          <w:sz w:val="44"/>
          <w:szCs w:val="44"/>
        </w:rPr>
      </w:pPr>
    </w:p>
    <w:p w:rsidR="00FD7D88" w:rsidRDefault="002E60C1">
      <w:pPr>
        <w:autoSpaceDE w:val="0"/>
        <w:autoSpaceDN w:val="0"/>
        <w:adjustRightInd w:val="0"/>
        <w:spacing w:line="520" w:lineRule="exact"/>
        <w:jc w:val="center"/>
        <w:rPr>
          <w:rFonts w:asciiTheme="majorEastAsia" w:eastAsiaTheme="majorEastAsia" w:hAnsiTheme="majorEastAsia" w:cstheme="majorEastAsia"/>
          <w:b/>
          <w:kern w:val="0"/>
          <w:sz w:val="44"/>
          <w:szCs w:val="44"/>
        </w:rPr>
      </w:pPr>
      <w:r>
        <w:rPr>
          <w:rFonts w:asciiTheme="majorEastAsia" w:eastAsiaTheme="majorEastAsia" w:hAnsiTheme="majorEastAsia" w:cstheme="majorEastAsia" w:hint="eastAsia"/>
          <w:b/>
          <w:kern w:val="0"/>
          <w:sz w:val="44"/>
          <w:szCs w:val="44"/>
        </w:rPr>
        <w:t>2017梅州市</w:t>
      </w:r>
      <w:proofErr w:type="gramStart"/>
      <w:r>
        <w:rPr>
          <w:rFonts w:asciiTheme="majorEastAsia" w:eastAsiaTheme="majorEastAsia" w:hAnsiTheme="majorEastAsia" w:cstheme="majorEastAsia" w:hint="eastAsia"/>
          <w:b/>
          <w:kern w:val="0"/>
          <w:sz w:val="44"/>
          <w:szCs w:val="44"/>
        </w:rPr>
        <w:t>蕉华管理</w:t>
      </w:r>
      <w:proofErr w:type="gramEnd"/>
      <w:r>
        <w:rPr>
          <w:rFonts w:asciiTheme="majorEastAsia" w:eastAsiaTheme="majorEastAsia" w:hAnsiTheme="majorEastAsia" w:cstheme="majorEastAsia" w:hint="eastAsia"/>
          <w:b/>
          <w:kern w:val="0"/>
          <w:sz w:val="44"/>
          <w:szCs w:val="44"/>
        </w:rPr>
        <w:t>区部门预算</w:t>
      </w: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仿宋" w:eastAsia="仿宋" w:hAnsi="仿宋" w:cs="黑体"/>
          <w:b/>
          <w:kern w:val="0"/>
          <w:sz w:val="44"/>
          <w:szCs w:val="44"/>
        </w:rPr>
      </w:pPr>
    </w:p>
    <w:p w:rsidR="00FD7D88" w:rsidRDefault="00FD7D88">
      <w:pPr>
        <w:autoSpaceDE w:val="0"/>
        <w:autoSpaceDN w:val="0"/>
        <w:adjustRightInd w:val="0"/>
        <w:spacing w:line="520" w:lineRule="exact"/>
        <w:jc w:val="center"/>
        <w:rPr>
          <w:rFonts w:ascii="黑体" w:eastAsia="黑体" w:hAnsi="黑体" w:cs="黑体"/>
          <w:kern w:val="0"/>
          <w:sz w:val="32"/>
          <w:szCs w:val="32"/>
        </w:rPr>
      </w:pPr>
    </w:p>
    <w:p w:rsidR="00FD7D88" w:rsidRDefault="002E60C1">
      <w:pPr>
        <w:autoSpaceDE w:val="0"/>
        <w:autoSpaceDN w:val="0"/>
        <w:adjustRightInd w:val="0"/>
        <w:spacing w:line="520" w:lineRule="exact"/>
        <w:jc w:val="center"/>
        <w:rPr>
          <w:rFonts w:ascii="黑体" w:eastAsia="黑体" w:hAnsi="黑体" w:cs="黑体"/>
          <w:kern w:val="0"/>
          <w:sz w:val="44"/>
          <w:szCs w:val="44"/>
        </w:rPr>
      </w:pPr>
      <w:r>
        <w:rPr>
          <w:rFonts w:ascii="黑体" w:eastAsia="黑体" w:hAnsi="黑体" w:cs="黑体" w:hint="eastAsia"/>
          <w:kern w:val="0"/>
          <w:sz w:val="44"/>
          <w:szCs w:val="44"/>
        </w:rPr>
        <w:lastRenderedPageBreak/>
        <w:t>目</w:t>
      </w:r>
      <w:r>
        <w:rPr>
          <w:rFonts w:ascii="黑体" w:eastAsia="黑体" w:hAnsi="黑体" w:cs="黑体"/>
          <w:kern w:val="0"/>
          <w:sz w:val="44"/>
          <w:szCs w:val="44"/>
        </w:rPr>
        <w:t xml:space="preserve"> </w:t>
      </w:r>
      <w:r>
        <w:rPr>
          <w:rFonts w:ascii="黑体" w:eastAsia="黑体" w:hAnsi="黑体" w:cs="黑体" w:hint="eastAsia"/>
          <w:kern w:val="0"/>
          <w:sz w:val="44"/>
          <w:szCs w:val="44"/>
        </w:rPr>
        <w:t>录</w:t>
      </w:r>
    </w:p>
    <w:p w:rsidR="00FD7D88" w:rsidRDefault="00FD7D88">
      <w:pPr>
        <w:autoSpaceDE w:val="0"/>
        <w:autoSpaceDN w:val="0"/>
        <w:adjustRightInd w:val="0"/>
        <w:spacing w:line="520" w:lineRule="exact"/>
        <w:jc w:val="center"/>
        <w:rPr>
          <w:rFonts w:ascii="黑体" w:eastAsia="黑体" w:hAnsi="黑体" w:cs="黑体"/>
          <w:kern w:val="0"/>
          <w:sz w:val="32"/>
          <w:szCs w:val="32"/>
        </w:rPr>
      </w:pPr>
    </w:p>
    <w:p w:rsidR="00FD7D88" w:rsidRDefault="002E60C1">
      <w:pPr>
        <w:autoSpaceDE w:val="0"/>
        <w:autoSpaceDN w:val="0"/>
        <w:adjustRightInd w:val="0"/>
        <w:spacing w:line="520" w:lineRule="exact"/>
        <w:jc w:val="left"/>
        <w:rPr>
          <w:rFonts w:asciiTheme="majorEastAsia" w:eastAsiaTheme="majorEastAsia" w:hAnsiTheme="majorEastAsia" w:cstheme="majorEastAsia"/>
          <w:b/>
          <w:color w:val="FFFFFF"/>
          <w:kern w:val="0"/>
          <w:sz w:val="32"/>
          <w:szCs w:val="32"/>
        </w:rPr>
      </w:pPr>
      <w:r>
        <w:rPr>
          <w:rFonts w:asciiTheme="majorEastAsia" w:eastAsiaTheme="majorEastAsia" w:hAnsiTheme="majorEastAsia" w:cstheme="majorEastAsia" w:hint="eastAsia"/>
          <w:b/>
          <w:kern w:val="0"/>
          <w:sz w:val="32"/>
          <w:szCs w:val="32"/>
        </w:rPr>
        <w:t>第一部分 市</w:t>
      </w:r>
      <w:proofErr w:type="gramStart"/>
      <w:r>
        <w:rPr>
          <w:rFonts w:asciiTheme="majorEastAsia" w:eastAsiaTheme="majorEastAsia" w:hAnsiTheme="majorEastAsia" w:cstheme="majorEastAsia" w:hint="eastAsia"/>
          <w:b/>
          <w:kern w:val="0"/>
          <w:sz w:val="32"/>
          <w:szCs w:val="32"/>
        </w:rPr>
        <w:t>蕉华管理</w:t>
      </w:r>
      <w:proofErr w:type="gramEnd"/>
      <w:r>
        <w:rPr>
          <w:rFonts w:asciiTheme="majorEastAsia" w:eastAsiaTheme="majorEastAsia" w:hAnsiTheme="majorEastAsia" w:cstheme="majorEastAsia" w:hint="eastAsia"/>
          <w:b/>
          <w:kern w:val="0"/>
          <w:sz w:val="32"/>
          <w:szCs w:val="32"/>
        </w:rPr>
        <w:t>区概况</w:t>
      </w:r>
    </w:p>
    <w:p w:rsidR="00FD7D88" w:rsidRDefault="00FD7D88">
      <w:pPr>
        <w:autoSpaceDE w:val="0"/>
        <w:autoSpaceDN w:val="0"/>
        <w:adjustRightInd w:val="0"/>
        <w:spacing w:line="520" w:lineRule="exact"/>
        <w:jc w:val="left"/>
        <w:rPr>
          <w:rFonts w:asciiTheme="majorEastAsia" w:eastAsiaTheme="majorEastAsia" w:hAnsiTheme="majorEastAsia" w:cstheme="majorEastAsia"/>
          <w:b/>
          <w:kern w:val="0"/>
          <w:sz w:val="32"/>
          <w:szCs w:val="32"/>
        </w:rPr>
      </w:pPr>
    </w:p>
    <w:p w:rsidR="00FD7D88" w:rsidRDefault="002E60C1">
      <w:pPr>
        <w:autoSpaceDE w:val="0"/>
        <w:autoSpaceDN w:val="0"/>
        <w:adjustRightInd w:val="0"/>
        <w:spacing w:line="520" w:lineRule="exact"/>
        <w:jc w:val="left"/>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kern w:val="0"/>
          <w:sz w:val="32"/>
          <w:szCs w:val="32"/>
        </w:rPr>
        <w:t>第二部分 2017年部门预算情况说明</w:t>
      </w:r>
    </w:p>
    <w:p w:rsidR="00FD7D88" w:rsidRDefault="00FD7D88">
      <w:pPr>
        <w:autoSpaceDE w:val="0"/>
        <w:autoSpaceDN w:val="0"/>
        <w:adjustRightInd w:val="0"/>
        <w:spacing w:line="520" w:lineRule="exact"/>
        <w:jc w:val="left"/>
        <w:rPr>
          <w:rFonts w:asciiTheme="majorEastAsia" w:eastAsiaTheme="majorEastAsia" w:hAnsiTheme="majorEastAsia" w:cstheme="majorEastAsia"/>
          <w:b/>
          <w:kern w:val="0"/>
          <w:sz w:val="32"/>
          <w:szCs w:val="32"/>
        </w:rPr>
      </w:pPr>
    </w:p>
    <w:p w:rsidR="00FD7D88" w:rsidRDefault="002E60C1">
      <w:pPr>
        <w:autoSpaceDE w:val="0"/>
        <w:autoSpaceDN w:val="0"/>
        <w:adjustRightInd w:val="0"/>
        <w:spacing w:line="520" w:lineRule="exact"/>
        <w:jc w:val="left"/>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kern w:val="0"/>
          <w:sz w:val="32"/>
          <w:szCs w:val="32"/>
        </w:rPr>
        <w:t>第三部分 名词解释</w:t>
      </w:r>
    </w:p>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 w:rsidR="00FD7D88" w:rsidRDefault="00FD7D88">
      <w:pPr>
        <w:autoSpaceDE w:val="0"/>
        <w:autoSpaceDN w:val="0"/>
        <w:adjustRightInd w:val="0"/>
        <w:spacing w:line="520" w:lineRule="exact"/>
        <w:jc w:val="center"/>
        <w:rPr>
          <w:rFonts w:ascii="黑体" w:eastAsia="黑体" w:hAnsi="黑体" w:cs="黑体"/>
          <w:kern w:val="0"/>
          <w:sz w:val="32"/>
          <w:szCs w:val="32"/>
        </w:rPr>
      </w:pPr>
    </w:p>
    <w:p w:rsidR="00FD7D88" w:rsidRDefault="00FD7D88">
      <w:pPr>
        <w:autoSpaceDE w:val="0"/>
        <w:autoSpaceDN w:val="0"/>
        <w:adjustRightInd w:val="0"/>
        <w:spacing w:line="520" w:lineRule="exact"/>
        <w:jc w:val="center"/>
        <w:rPr>
          <w:rFonts w:ascii="黑体" w:eastAsia="黑体" w:hAnsi="黑体" w:cs="黑体"/>
          <w:kern w:val="0"/>
          <w:sz w:val="32"/>
          <w:szCs w:val="32"/>
        </w:rPr>
      </w:pPr>
    </w:p>
    <w:p w:rsidR="00FD7D88" w:rsidRDefault="002E60C1">
      <w:pPr>
        <w:autoSpaceDE w:val="0"/>
        <w:autoSpaceDN w:val="0"/>
        <w:adjustRightInd w:val="0"/>
        <w:spacing w:line="520" w:lineRule="exact"/>
        <w:jc w:val="center"/>
        <w:rPr>
          <w:rFonts w:asciiTheme="majorEastAsia" w:eastAsiaTheme="majorEastAsia" w:hAnsiTheme="majorEastAsia" w:cstheme="majorEastAsia"/>
          <w:b/>
          <w:bCs/>
          <w:kern w:val="0"/>
          <w:sz w:val="40"/>
          <w:szCs w:val="40"/>
        </w:rPr>
      </w:pPr>
      <w:r>
        <w:rPr>
          <w:rFonts w:asciiTheme="majorEastAsia" w:eastAsiaTheme="majorEastAsia" w:hAnsiTheme="majorEastAsia" w:cstheme="majorEastAsia" w:hint="eastAsia"/>
          <w:b/>
          <w:bCs/>
          <w:kern w:val="0"/>
          <w:sz w:val="40"/>
          <w:szCs w:val="40"/>
        </w:rPr>
        <w:lastRenderedPageBreak/>
        <w:t>第一部分 市</w:t>
      </w:r>
      <w:proofErr w:type="gramStart"/>
      <w:r>
        <w:rPr>
          <w:rFonts w:asciiTheme="majorEastAsia" w:eastAsiaTheme="majorEastAsia" w:hAnsiTheme="majorEastAsia" w:cstheme="majorEastAsia" w:hint="eastAsia"/>
          <w:b/>
          <w:bCs/>
          <w:kern w:val="0"/>
          <w:sz w:val="40"/>
          <w:szCs w:val="40"/>
        </w:rPr>
        <w:t>蕉华管理</w:t>
      </w:r>
      <w:proofErr w:type="gramEnd"/>
      <w:r>
        <w:rPr>
          <w:rFonts w:asciiTheme="majorEastAsia" w:eastAsiaTheme="majorEastAsia" w:hAnsiTheme="majorEastAsia" w:cstheme="majorEastAsia" w:hint="eastAsia"/>
          <w:b/>
          <w:bCs/>
          <w:kern w:val="0"/>
          <w:sz w:val="40"/>
          <w:szCs w:val="40"/>
        </w:rPr>
        <w:t>区概况</w:t>
      </w:r>
    </w:p>
    <w:p w:rsidR="00FD7D88" w:rsidRDefault="00FD7D88">
      <w:pPr>
        <w:autoSpaceDE w:val="0"/>
        <w:autoSpaceDN w:val="0"/>
        <w:adjustRightInd w:val="0"/>
        <w:spacing w:line="520" w:lineRule="exact"/>
        <w:jc w:val="center"/>
        <w:rPr>
          <w:rFonts w:ascii="黑体" w:eastAsia="黑体" w:hAnsi="黑体" w:cs="黑体"/>
          <w:kern w:val="0"/>
          <w:sz w:val="32"/>
          <w:szCs w:val="32"/>
        </w:rPr>
      </w:pPr>
    </w:p>
    <w:p w:rsidR="00FD7D88" w:rsidRDefault="002E60C1">
      <w:pPr>
        <w:autoSpaceDE w:val="0"/>
        <w:autoSpaceDN w:val="0"/>
        <w:adjustRightInd w:val="0"/>
        <w:spacing w:line="560" w:lineRule="exact"/>
        <w:jc w:val="left"/>
        <w:rPr>
          <w:rFonts w:ascii="仿宋_GB2312" w:eastAsia="仿宋_GB2312" w:hAnsi="仿宋_GB2312" w:cs="仿宋_GB2312"/>
          <w:color w:val="333333"/>
          <w:kern w:val="0"/>
          <w:sz w:val="32"/>
          <w:szCs w:val="32"/>
        </w:rPr>
      </w:pPr>
      <w:r>
        <w:rPr>
          <w:rFonts w:ascii="黑体" w:eastAsia="黑体" w:hAnsi="黑体" w:cs="黑体"/>
          <w:kern w:val="0"/>
          <w:sz w:val="32"/>
          <w:szCs w:val="32"/>
        </w:rPr>
        <w:t xml:space="preserve">   </w:t>
      </w:r>
      <w:r>
        <w:rPr>
          <w:rFonts w:ascii="楷体_GB2312" w:eastAsia="楷体_GB2312" w:hAnsi="楷体_GB2312" w:cs="楷体_GB2312" w:hint="eastAsia"/>
          <w:color w:val="333333"/>
          <w:kern w:val="0"/>
          <w:sz w:val="32"/>
          <w:szCs w:val="32"/>
        </w:rPr>
        <w:t>（一）部门职责。</w:t>
      </w:r>
      <w:r>
        <w:rPr>
          <w:rFonts w:ascii="仿宋_GB2312" w:eastAsia="仿宋_GB2312" w:hAnsi="仿宋_GB2312" w:cs="仿宋_GB2312" w:hint="eastAsia"/>
          <w:color w:val="333333"/>
          <w:kern w:val="0"/>
          <w:sz w:val="32"/>
          <w:szCs w:val="32"/>
        </w:rPr>
        <w:t>根据《中共广东省委、广东省人民政府关于印发&lt;广东省事业单位分类改革的意见&gt;的通知》（粤发〔2010〕6号），梅州市</w:t>
      </w:r>
      <w:proofErr w:type="gramStart"/>
      <w:r>
        <w:rPr>
          <w:rFonts w:ascii="仿宋_GB2312" w:eastAsia="仿宋_GB2312" w:hAnsi="仿宋_GB2312" w:cs="仿宋_GB2312" w:hint="eastAsia"/>
          <w:color w:val="333333"/>
          <w:kern w:val="0"/>
          <w:sz w:val="32"/>
          <w:szCs w:val="32"/>
        </w:rPr>
        <w:t>蕉华管理</w:t>
      </w:r>
      <w:proofErr w:type="gramEnd"/>
      <w:r>
        <w:rPr>
          <w:rFonts w:ascii="仿宋_GB2312" w:eastAsia="仿宋_GB2312" w:hAnsi="仿宋_GB2312" w:cs="仿宋_GB2312" w:hint="eastAsia"/>
          <w:color w:val="333333"/>
          <w:kern w:val="0"/>
          <w:sz w:val="32"/>
          <w:szCs w:val="32"/>
        </w:rPr>
        <w:t>区(广东省蕉岭华侨农场、广东梅州蕉华工业园区管理委员会)为市政府直接管理的</w:t>
      </w:r>
      <w:proofErr w:type="gramStart"/>
      <w:r>
        <w:rPr>
          <w:rFonts w:ascii="仿宋_GB2312" w:eastAsia="仿宋_GB2312" w:hAnsi="仿宋_GB2312" w:cs="仿宋_GB2312" w:hint="eastAsia"/>
          <w:color w:val="333333"/>
          <w:kern w:val="0"/>
          <w:sz w:val="32"/>
          <w:szCs w:val="32"/>
        </w:rPr>
        <w:t>正处级参公事业单位</w:t>
      </w:r>
      <w:proofErr w:type="gramEnd"/>
      <w:r>
        <w:rPr>
          <w:rFonts w:ascii="仿宋_GB2312" w:eastAsia="仿宋_GB2312" w:hAnsi="仿宋_GB2312" w:cs="仿宋_GB2312" w:hint="eastAsia"/>
          <w:color w:val="333333"/>
          <w:kern w:val="0"/>
          <w:sz w:val="32"/>
          <w:szCs w:val="32"/>
        </w:rPr>
        <w:t>。主要职责：1.有关法律、法规、政策赋予县级政府行政管理的职权，市政府委托管委会行使。2.市直部门在工业园内的行政管理职权，依法委托给管委会行使。3.代表市委、市政府管理</w:t>
      </w:r>
      <w:proofErr w:type="gramStart"/>
      <w:r>
        <w:rPr>
          <w:rFonts w:ascii="仿宋_GB2312" w:eastAsia="仿宋_GB2312" w:hAnsi="仿宋_GB2312" w:cs="仿宋_GB2312" w:hint="eastAsia"/>
          <w:color w:val="333333"/>
          <w:kern w:val="0"/>
          <w:sz w:val="32"/>
          <w:szCs w:val="32"/>
        </w:rPr>
        <w:t>蕉华管理</w:t>
      </w:r>
      <w:proofErr w:type="gramEnd"/>
      <w:r>
        <w:rPr>
          <w:rFonts w:ascii="仿宋_GB2312" w:eastAsia="仿宋_GB2312" w:hAnsi="仿宋_GB2312" w:cs="仿宋_GB2312" w:hint="eastAsia"/>
          <w:color w:val="333333"/>
          <w:kern w:val="0"/>
          <w:sz w:val="32"/>
          <w:szCs w:val="32"/>
        </w:rPr>
        <w:t>区辖区内的社会事务。执行市人民代表大会的决议和上级国家行政机关的决定和命令；执行本区域内的经济和社会发展计划、预算，管理本区域内的经济、教育、科学、文化、卫生、体育事业和财政、民政、公安、司法、计划生育等工作；办理上级人民政府交办的其他事项。</w:t>
      </w:r>
    </w:p>
    <w:p w:rsidR="00FD7D88" w:rsidRDefault="002E60C1">
      <w:pPr>
        <w:autoSpaceDE w:val="0"/>
        <w:autoSpaceDN w:val="0"/>
        <w:adjustRightInd w:val="0"/>
        <w:spacing w:line="560" w:lineRule="exact"/>
        <w:ind w:firstLineChars="200" w:firstLine="640"/>
        <w:jc w:val="left"/>
        <w:rPr>
          <w:rFonts w:ascii="仿宋_GB2312" w:eastAsia="仿宋_GB2312" w:hAnsi="新宋体" w:cs="宋体"/>
          <w:color w:val="333333"/>
          <w:kern w:val="0"/>
          <w:sz w:val="32"/>
          <w:szCs w:val="32"/>
        </w:rPr>
      </w:pPr>
      <w:r>
        <w:rPr>
          <w:rFonts w:ascii="楷体_GB2312" w:eastAsia="楷体_GB2312" w:hAnsi="楷体_GB2312" w:cs="楷体_GB2312" w:hint="eastAsia"/>
          <w:color w:val="333333"/>
          <w:kern w:val="0"/>
          <w:sz w:val="32"/>
          <w:szCs w:val="32"/>
        </w:rPr>
        <w:t>（二）机构设置及人员构成。</w:t>
      </w:r>
      <w:r>
        <w:rPr>
          <w:rFonts w:ascii="仿宋_GB2312" w:eastAsia="仿宋_GB2312" w:hAnsi="新宋体" w:cs="宋体" w:hint="eastAsia"/>
          <w:color w:val="333333"/>
          <w:kern w:val="0"/>
          <w:sz w:val="32"/>
          <w:szCs w:val="32"/>
        </w:rPr>
        <w:t>梅州市</w:t>
      </w:r>
      <w:proofErr w:type="gramStart"/>
      <w:r>
        <w:rPr>
          <w:rFonts w:ascii="仿宋_GB2312" w:eastAsia="仿宋_GB2312" w:hAnsi="新宋体" w:cs="宋体" w:hint="eastAsia"/>
          <w:color w:val="333333"/>
          <w:kern w:val="0"/>
          <w:sz w:val="32"/>
          <w:szCs w:val="32"/>
        </w:rPr>
        <w:t>蕉华管理</w:t>
      </w:r>
      <w:proofErr w:type="gramEnd"/>
      <w:r>
        <w:rPr>
          <w:rFonts w:ascii="仿宋_GB2312" w:eastAsia="仿宋_GB2312" w:hAnsi="新宋体" w:cs="宋体" w:hint="eastAsia"/>
          <w:color w:val="333333"/>
          <w:kern w:val="0"/>
          <w:sz w:val="32"/>
          <w:szCs w:val="32"/>
        </w:rPr>
        <w:t>区机关现有办公室、财务部、人事教育部（加挂劳动保障事务所）、农村发展管理部（加挂武装部、民政办公室）、林业办公室、规划建设办公室（物业管理办公室）、招商引资办公室、信访办公室（加挂司法所、综治办）、计划生育办公室9个正科级内设机构，下辖莲塘、老场、</w:t>
      </w:r>
      <w:proofErr w:type="gramStart"/>
      <w:r>
        <w:rPr>
          <w:rFonts w:ascii="仿宋_GB2312" w:eastAsia="仿宋_GB2312" w:hAnsi="新宋体" w:cs="宋体" w:hint="eastAsia"/>
          <w:color w:val="333333"/>
          <w:kern w:val="0"/>
          <w:sz w:val="32"/>
          <w:szCs w:val="32"/>
        </w:rPr>
        <w:t>礤</w:t>
      </w:r>
      <w:proofErr w:type="gramEnd"/>
      <w:r>
        <w:rPr>
          <w:rFonts w:ascii="仿宋_GB2312" w:eastAsia="仿宋_GB2312" w:hAnsi="新宋体" w:cs="宋体" w:hint="eastAsia"/>
          <w:color w:val="333333"/>
          <w:kern w:val="0"/>
          <w:sz w:val="32"/>
          <w:szCs w:val="32"/>
        </w:rPr>
        <w:t>背、北坑4个正科级建制办事处；田家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中学是副科级事业单位；田家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小学是不定级事业单位。目前，梅州市</w:t>
      </w:r>
      <w:proofErr w:type="gramStart"/>
      <w:r>
        <w:rPr>
          <w:rFonts w:ascii="仿宋_GB2312" w:eastAsia="仿宋_GB2312" w:hAnsi="新宋体" w:cs="宋体" w:hint="eastAsia"/>
          <w:color w:val="333333"/>
          <w:kern w:val="0"/>
          <w:sz w:val="32"/>
          <w:szCs w:val="32"/>
        </w:rPr>
        <w:t>蕉华管理</w:t>
      </w:r>
      <w:proofErr w:type="gramEnd"/>
      <w:r>
        <w:rPr>
          <w:rFonts w:ascii="仿宋_GB2312" w:eastAsia="仿宋_GB2312" w:hAnsi="新宋体" w:cs="宋体" w:hint="eastAsia"/>
          <w:color w:val="333333"/>
          <w:kern w:val="0"/>
          <w:sz w:val="32"/>
          <w:szCs w:val="32"/>
        </w:rPr>
        <w:t>区参照公务员管理编制45个，经费来源为全额拨款，2016年底实有人数43人；下辖莲塘、老场、</w:t>
      </w:r>
      <w:proofErr w:type="gramStart"/>
      <w:r>
        <w:rPr>
          <w:rFonts w:ascii="仿宋_GB2312" w:eastAsia="仿宋_GB2312" w:hAnsi="新宋体" w:cs="宋体" w:hint="eastAsia"/>
          <w:color w:val="333333"/>
          <w:kern w:val="0"/>
          <w:sz w:val="32"/>
          <w:szCs w:val="32"/>
        </w:rPr>
        <w:t>礤</w:t>
      </w:r>
      <w:proofErr w:type="gramEnd"/>
      <w:r>
        <w:rPr>
          <w:rFonts w:ascii="仿宋_GB2312" w:eastAsia="仿宋_GB2312" w:hAnsi="新宋体" w:cs="宋体" w:hint="eastAsia"/>
          <w:color w:val="333333"/>
          <w:kern w:val="0"/>
          <w:sz w:val="32"/>
          <w:szCs w:val="32"/>
        </w:rPr>
        <w:t>背、北坑4个正科级建制办事处，核定编</w:t>
      </w:r>
      <w:r>
        <w:rPr>
          <w:rFonts w:ascii="仿宋_GB2312" w:eastAsia="仿宋_GB2312" w:hAnsi="新宋体" w:cs="宋体" w:hint="eastAsia"/>
          <w:color w:val="333333"/>
          <w:kern w:val="0"/>
          <w:sz w:val="32"/>
          <w:szCs w:val="32"/>
        </w:rPr>
        <w:lastRenderedPageBreak/>
        <w:t>制数14人，经费来源为全额拨款，2016年底实有人数13人，4个办事处均为公益一类事业单位；田家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中学是副科级事业单位，核定编制数33人，2016年底实有人数29人，经费来源为全额拨款；田家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小学是不定级事业单位，核定编制数32人，2016年底实有人数28人，经费来源为全额拨款；退休人员101人，经费来源为全额拨款。</w:t>
      </w:r>
    </w:p>
    <w:p w:rsidR="00FD7D88" w:rsidRDefault="002E60C1">
      <w:pPr>
        <w:autoSpaceDE w:val="0"/>
        <w:autoSpaceDN w:val="0"/>
        <w:adjustRightInd w:val="0"/>
        <w:spacing w:line="560" w:lineRule="exact"/>
        <w:ind w:firstLineChars="200" w:firstLine="640"/>
        <w:jc w:val="left"/>
        <w:rPr>
          <w:rFonts w:ascii="仿宋_GB2312" w:eastAsia="仿宋_GB2312" w:hAnsi="新宋体" w:cs="宋体"/>
          <w:color w:val="333333"/>
          <w:kern w:val="0"/>
          <w:sz w:val="32"/>
          <w:szCs w:val="32"/>
        </w:rPr>
      </w:pPr>
      <w:r>
        <w:rPr>
          <w:rFonts w:ascii="仿宋_GB2312" w:eastAsia="仿宋_GB2312" w:hAnsi="新宋体" w:cs="宋体" w:hint="eastAsia"/>
          <w:color w:val="333333"/>
          <w:kern w:val="0"/>
          <w:sz w:val="32"/>
          <w:szCs w:val="32"/>
        </w:rPr>
        <w:t>（三）预算单位构成。包括市</w:t>
      </w:r>
      <w:proofErr w:type="gramStart"/>
      <w:r>
        <w:rPr>
          <w:rFonts w:ascii="仿宋_GB2312" w:eastAsia="仿宋_GB2312" w:hAnsi="新宋体" w:cs="宋体" w:hint="eastAsia"/>
          <w:color w:val="333333"/>
          <w:kern w:val="0"/>
          <w:sz w:val="32"/>
          <w:szCs w:val="32"/>
        </w:rPr>
        <w:t>蕉华管理</w:t>
      </w:r>
      <w:proofErr w:type="gramEnd"/>
      <w:r>
        <w:rPr>
          <w:rFonts w:ascii="仿宋_GB2312" w:eastAsia="仿宋_GB2312" w:hAnsi="新宋体" w:cs="宋体" w:hint="eastAsia"/>
          <w:color w:val="333333"/>
          <w:kern w:val="0"/>
          <w:sz w:val="32"/>
          <w:szCs w:val="32"/>
        </w:rPr>
        <w:t>区本级、办事处、田家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中学和田家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小学。</w:t>
      </w:r>
    </w:p>
    <w:p w:rsidR="00FD7D88" w:rsidRDefault="002E60C1">
      <w:pPr>
        <w:autoSpaceDE w:val="0"/>
        <w:autoSpaceDN w:val="0"/>
        <w:adjustRightInd w:val="0"/>
        <w:spacing w:line="560" w:lineRule="exact"/>
        <w:jc w:val="left"/>
        <w:rPr>
          <w:rFonts w:ascii="仿宋" w:eastAsia="仿宋" w:hAnsi="仿宋" w:cs="黑体"/>
          <w:b/>
          <w:kern w:val="0"/>
          <w:sz w:val="32"/>
          <w:szCs w:val="32"/>
        </w:rPr>
      </w:pPr>
      <w:r>
        <w:rPr>
          <w:rFonts w:ascii="仿宋" w:eastAsia="仿宋" w:hAnsi="仿宋" w:cs="黑体"/>
          <w:kern w:val="0"/>
          <w:sz w:val="32"/>
          <w:szCs w:val="32"/>
        </w:rPr>
        <w:t xml:space="preserve">  </w:t>
      </w:r>
      <w:r>
        <w:rPr>
          <w:rFonts w:ascii="仿宋" w:eastAsia="仿宋" w:hAnsi="仿宋" w:cs="黑体"/>
          <w:b/>
          <w:kern w:val="0"/>
          <w:sz w:val="32"/>
          <w:szCs w:val="32"/>
        </w:rPr>
        <w:t xml:space="preserve">                                                                                                                                                                                                                                                                                                                                                                                                                                                                                                                                                                                                                                                                                                                                                                                                                                                                                                                                                                                                                                                                                                                                                                                                                                                                                                                                                                                                                                                                                                                                                                                                                                                                                                                                                                                                                                                                                                                                      </w:t>
      </w:r>
    </w:p>
    <w:p w:rsidR="00FD7D88" w:rsidRDefault="002E60C1">
      <w:pPr>
        <w:autoSpaceDE w:val="0"/>
        <w:autoSpaceDN w:val="0"/>
        <w:adjustRightInd w:val="0"/>
        <w:spacing w:line="520" w:lineRule="exact"/>
        <w:jc w:val="center"/>
        <w:rPr>
          <w:rFonts w:asciiTheme="majorEastAsia" w:eastAsiaTheme="majorEastAsia" w:hAnsiTheme="majorEastAsia" w:cstheme="majorEastAsia"/>
          <w:b/>
          <w:bCs/>
          <w:kern w:val="0"/>
          <w:sz w:val="40"/>
          <w:szCs w:val="40"/>
        </w:rPr>
      </w:pPr>
      <w:r>
        <w:rPr>
          <w:rFonts w:asciiTheme="majorEastAsia" w:eastAsiaTheme="majorEastAsia" w:hAnsiTheme="majorEastAsia" w:cstheme="majorEastAsia" w:hint="eastAsia"/>
          <w:b/>
          <w:bCs/>
          <w:kern w:val="0"/>
          <w:sz w:val="40"/>
          <w:szCs w:val="40"/>
        </w:rPr>
        <w:t>第二部分 2017年度部门预算情况说明</w:t>
      </w:r>
    </w:p>
    <w:p w:rsidR="00FD7D88" w:rsidRDefault="002E60C1">
      <w:pPr>
        <w:autoSpaceDE w:val="0"/>
        <w:autoSpaceDN w:val="0"/>
        <w:adjustRightInd w:val="0"/>
        <w:spacing w:line="560" w:lineRule="exact"/>
        <w:rPr>
          <w:rFonts w:ascii="仿宋" w:eastAsia="仿宋" w:hAnsi="仿宋" w:cs="宋体"/>
          <w:b/>
          <w:kern w:val="0"/>
          <w:sz w:val="32"/>
          <w:szCs w:val="32"/>
        </w:rPr>
      </w:pPr>
      <w:r>
        <w:rPr>
          <w:rFonts w:ascii="仿宋" w:eastAsia="仿宋" w:hAnsi="仿宋" w:cs="宋体"/>
          <w:b/>
          <w:kern w:val="0"/>
          <w:sz w:val="32"/>
          <w:szCs w:val="32"/>
        </w:rPr>
        <w:t xml:space="preserve">   </w:t>
      </w:r>
    </w:p>
    <w:p w:rsidR="00FD7D88" w:rsidRDefault="002E60C1">
      <w:pPr>
        <w:widowControl/>
        <w:adjustRightInd w:val="0"/>
        <w:spacing w:line="560" w:lineRule="exact"/>
        <w:ind w:firstLineChars="200" w:firstLine="640"/>
        <w:jc w:val="left"/>
        <w:rPr>
          <w:sz w:val="32"/>
          <w:szCs w:val="32"/>
        </w:rPr>
      </w:pPr>
      <w:r>
        <w:rPr>
          <w:rFonts w:ascii="楷体_GB2312" w:eastAsia="楷体_GB2312" w:hAnsi="楷体_GB2312" w:cs="楷体_GB2312" w:hint="eastAsia"/>
          <w:color w:val="333333"/>
          <w:kern w:val="0"/>
          <w:sz w:val="32"/>
          <w:szCs w:val="32"/>
        </w:rPr>
        <w:t>（一）收支预算情况的总体情况。</w:t>
      </w:r>
      <w:r>
        <w:rPr>
          <w:rFonts w:ascii="仿宋_GB2312" w:eastAsia="仿宋_GB2312" w:hAnsi="微软雅黑" w:cs="仿宋_GB2312" w:hint="eastAsia"/>
          <w:color w:val="333333"/>
          <w:kern w:val="0"/>
          <w:sz w:val="32"/>
          <w:szCs w:val="32"/>
          <w:shd w:val="clear" w:color="auto" w:fill="FFFFFF"/>
          <w:lang w:bidi="ar"/>
        </w:rPr>
        <w:t>2017年我单位收入预算总额为3387.66万元，其中公共预算拨款总额为3387.66万元，支出预算总额为3387.66万元，较2016年收支预算2407.06增加了980.6万元，比增40.73%，主要是对个人和家庭支出、税收返还收支预算分别增加了585.34万元、427.2万元。2017年我单位支出预算数为3387.66万元，机关运行公用基本支出预算数为2148.96万元，项目支出预算数为1238.70万元，项目支出预算数1238.70万元包含：华侨企业亏损补贴支出预算85.50万元，华侨农场教育专款支出预算30.00万元，税改返还支出预算1027.20万元，体制返还（含包干公用经费）支出预算96.00万元。</w:t>
      </w:r>
    </w:p>
    <w:p w:rsidR="00FD7D88" w:rsidRDefault="002E60C1">
      <w:pPr>
        <w:widowControl/>
        <w:adjustRightInd w:val="0"/>
        <w:spacing w:line="560" w:lineRule="exact"/>
        <w:ind w:firstLineChars="200" w:firstLine="640"/>
        <w:jc w:val="left"/>
        <w:rPr>
          <w:rFonts w:ascii="仿宋_GB2312" w:eastAsia="仿宋_GB2312" w:hAnsi="微软雅黑" w:cs="仿宋_GB2312"/>
          <w:color w:val="333333"/>
          <w:kern w:val="0"/>
          <w:sz w:val="32"/>
          <w:szCs w:val="32"/>
          <w:shd w:val="clear" w:color="auto" w:fill="FFFFFF"/>
          <w:lang w:bidi="ar"/>
        </w:rPr>
      </w:pPr>
      <w:r>
        <w:rPr>
          <w:rFonts w:ascii="楷体_GB2312" w:eastAsia="楷体_GB2312" w:hAnsi="楷体_GB2312" w:cs="楷体_GB2312" w:hint="eastAsia"/>
          <w:color w:val="333333"/>
          <w:kern w:val="0"/>
          <w:sz w:val="32"/>
          <w:szCs w:val="32"/>
        </w:rPr>
        <w:t>（二）机关运行经费安排情况。</w:t>
      </w:r>
      <w:r>
        <w:rPr>
          <w:rFonts w:ascii="仿宋_GB2312" w:eastAsia="仿宋_GB2312" w:hAnsi="微软雅黑" w:cs="仿宋_GB2312" w:hint="eastAsia"/>
          <w:color w:val="333333"/>
          <w:kern w:val="0"/>
          <w:sz w:val="32"/>
          <w:szCs w:val="32"/>
          <w:shd w:val="clear" w:color="auto" w:fill="FFFFFF"/>
          <w:lang w:bidi="ar"/>
        </w:rPr>
        <w:t>2017年我单位机关运行公用基本支出预算数为2148.96万元，较2016年预算数</w:t>
      </w:r>
      <w:r>
        <w:rPr>
          <w:rFonts w:ascii="仿宋_GB2312" w:eastAsia="仿宋_GB2312" w:hAnsi="微软雅黑" w:cs="仿宋_GB2312" w:hint="eastAsia"/>
          <w:color w:val="333333"/>
          <w:kern w:val="0"/>
          <w:sz w:val="32"/>
          <w:szCs w:val="32"/>
          <w:shd w:val="clear" w:color="auto" w:fill="FFFFFF"/>
          <w:lang w:bidi="ar"/>
        </w:rPr>
        <w:lastRenderedPageBreak/>
        <w:t>1568.36万元增加了580.53万元，比增37.01%，主要是对个人和家庭支出增加了585.34万元支出预算包含：工资福利支出预算数1013.41万元，商品和服务支出预算数0.85万元，对个人和家庭的补助支出预算数1134.70万元。</w:t>
      </w:r>
    </w:p>
    <w:p w:rsidR="00FD7D88" w:rsidRDefault="002E60C1">
      <w:pPr>
        <w:widowControl/>
        <w:adjustRightInd w:val="0"/>
        <w:spacing w:line="560" w:lineRule="exact"/>
        <w:ind w:firstLineChars="200" w:firstLine="640"/>
        <w:jc w:val="left"/>
        <w:rPr>
          <w:rFonts w:ascii="仿宋_GB2312" w:eastAsia="仿宋_GB2312" w:hAnsi="新宋体" w:cs="仿宋_GB2312"/>
          <w:color w:val="333333"/>
          <w:kern w:val="0"/>
          <w:sz w:val="32"/>
          <w:szCs w:val="32"/>
          <w:shd w:val="clear" w:color="auto" w:fill="FFFFFF"/>
          <w:lang w:bidi="ar"/>
        </w:rPr>
      </w:pPr>
      <w:r>
        <w:rPr>
          <w:rFonts w:ascii="楷体_GB2312" w:eastAsia="楷体_GB2312" w:hAnsi="楷体_GB2312" w:cs="楷体_GB2312" w:hint="eastAsia"/>
          <w:color w:val="333333"/>
          <w:kern w:val="0"/>
          <w:sz w:val="32"/>
          <w:szCs w:val="32"/>
          <w:shd w:val="clear" w:color="auto" w:fill="FFFFFF"/>
          <w:lang w:bidi="ar"/>
        </w:rPr>
        <w:t>（三）“三公经费”支出预算情况。</w:t>
      </w:r>
      <w:r>
        <w:rPr>
          <w:rFonts w:ascii="仿宋_GB2312" w:eastAsia="仿宋_GB2312" w:hAnsi="微软雅黑" w:cs="仿宋_GB2312" w:hint="eastAsia"/>
          <w:color w:val="333333"/>
          <w:kern w:val="0"/>
          <w:sz w:val="32"/>
          <w:szCs w:val="32"/>
          <w:shd w:val="clear" w:color="auto" w:fill="FFFFFF"/>
          <w:lang w:bidi="ar"/>
        </w:rPr>
        <w:t>2017年我单位“三公经费”支出预算数为93.00万元，与2016年预算基本持平。其中，因公出国（境）费支出预算5.00万元，较2016年1.6万元增加了3.4万元，比增212.5%，主要是增加了出国（境）考察、招商引资支出预算；2017年公务用车预算8万元，其中，无公务用车购置支出预算，与2016年度保持不变，公务用车运行维护支出预算8万元，较2016年11万元减少3万元，主要是严格落实公车改革相关制度，控制公务车辆使用范围；公务接待费支出预算80.00万元，较2016年预算无变化，</w:t>
      </w:r>
      <w:r>
        <w:rPr>
          <w:rFonts w:ascii="仿宋_GB2312" w:eastAsia="仿宋_GB2312" w:hAnsi="新宋体" w:cs="仿宋_GB2312" w:hint="eastAsia"/>
          <w:color w:val="333333"/>
          <w:kern w:val="0"/>
          <w:sz w:val="32"/>
          <w:szCs w:val="32"/>
          <w:shd w:val="clear" w:color="auto" w:fill="FFFFFF"/>
          <w:lang w:bidi="ar"/>
        </w:rPr>
        <w:t>主要用于业务交流等外单位人员的接待工作。</w:t>
      </w:r>
    </w:p>
    <w:p w:rsidR="00FD7D88" w:rsidRDefault="002E60C1">
      <w:pPr>
        <w:widowControl/>
        <w:adjustRightInd w:val="0"/>
        <w:spacing w:line="560" w:lineRule="exact"/>
        <w:ind w:firstLineChars="200" w:firstLine="640"/>
        <w:jc w:val="left"/>
        <w:rPr>
          <w:rFonts w:ascii="仿宋_GB2312" w:eastAsia="仿宋_GB2312" w:hAnsi="新宋体" w:cs="仿宋_GB2312"/>
          <w:color w:val="333333"/>
          <w:kern w:val="0"/>
          <w:sz w:val="32"/>
          <w:szCs w:val="32"/>
          <w:shd w:val="clear" w:color="auto" w:fill="FFFFFF"/>
          <w:lang w:bidi="ar"/>
        </w:rPr>
      </w:pPr>
      <w:r>
        <w:rPr>
          <w:rFonts w:ascii="楷体_GB2312" w:eastAsia="楷体_GB2312" w:hAnsi="楷体_GB2312" w:cs="楷体_GB2312" w:hint="eastAsia"/>
          <w:color w:val="333333"/>
          <w:kern w:val="0"/>
          <w:sz w:val="32"/>
          <w:szCs w:val="32"/>
          <w:shd w:val="clear" w:color="auto" w:fill="FFFFFF"/>
          <w:lang w:bidi="ar"/>
        </w:rPr>
        <w:t>（四）政府采购支出预算情况。</w:t>
      </w:r>
      <w:r>
        <w:rPr>
          <w:rFonts w:ascii="仿宋_GB2312" w:eastAsia="仿宋_GB2312" w:hAnsi="微软雅黑" w:cs="仿宋_GB2312" w:hint="eastAsia"/>
          <w:color w:val="333333"/>
          <w:kern w:val="0"/>
          <w:sz w:val="32"/>
          <w:szCs w:val="32"/>
          <w:shd w:val="clear" w:color="auto" w:fill="FFFFFF"/>
          <w:lang w:bidi="ar"/>
        </w:rPr>
        <w:t>无</w:t>
      </w:r>
    </w:p>
    <w:p w:rsidR="00FD7D88" w:rsidRDefault="00FD7D88">
      <w:pPr>
        <w:autoSpaceDE w:val="0"/>
        <w:autoSpaceDN w:val="0"/>
        <w:adjustRightInd w:val="0"/>
        <w:spacing w:line="560" w:lineRule="exact"/>
        <w:jc w:val="center"/>
        <w:rPr>
          <w:rFonts w:ascii="黑体" w:eastAsia="黑体" w:hAnsi="黑体" w:cs="黑体"/>
          <w:kern w:val="0"/>
          <w:sz w:val="32"/>
          <w:szCs w:val="32"/>
        </w:rPr>
      </w:pPr>
    </w:p>
    <w:p w:rsidR="00FD7D88" w:rsidRDefault="002E60C1">
      <w:pPr>
        <w:autoSpaceDE w:val="0"/>
        <w:autoSpaceDN w:val="0"/>
        <w:adjustRightInd w:val="0"/>
        <w:spacing w:line="520" w:lineRule="exact"/>
        <w:jc w:val="center"/>
        <w:rPr>
          <w:rFonts w:asciiTheme="majorEastAsia" w:eastAsiaTheme="majorEastAsia" w:hAnsiTheme="majorEastAsia" w:cstheme="majorEastAsia"/>
          <w:b/>
          <w:bCs/>
          <w:kern w:val="0"/>
          <w:sz w:val="40"/>
          <w:szCs w:val="40"/>
        </w:rPr>
      </w:pPr>
      <w:r>
        <w:rPr>
          <w:rFonts w:asciiTheme="majorEastAsia" w:eastAsiaTheme="majorEastAsia" w:hAnsiTheme="majorEastAsia" w:cstheme="majorEastAsia" w:hint="eastAsia"/>
          <w:b/>
          <w:bCs/>
          <w:kern w:val="0"/>
          <w:sz w:val="40"/>
          <w:szCs w:val="40"/>
        </w:rPr>
        <w:t>第三部分 名词解释</w:t>
      </w:r>
    </w:p>
    <w:p w:rsidR="00FD7D88" w:rsidRDefault="00FD7D88">
      <w:pPr>
        <w:autoSpaceDE w:val="0"/>
        <w:autoSpaceDN w:val="0"/>
        <w:adjustRightInd w:val="0"/>
        <w:spacing w:line="560" w:lineRule="exact"/>
        <w:ind w:firstLineChars="200" w:firstLine="640"/>
        <w:jc w:val="center"/>
        <w:rPr>
          <w:rFonts w:ascii="仿宋_GB2312" w:eastAsia="仿宋_GB2312" w:hAnsi="仿宋_GB2312" w:cs="仿宋_GB2312"/>
          <w:kern w:val="0"/>
          <w:sz w:val="32"/>
          <w:szCs w:val="32"/>
        </w:rPr>
      </w:pP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一、一般公共预算拨款收入：</w:t>
      </w:r>
      <w:r>
        <w:rPr>
          <w:rFonts w:ascii="仿宋_GB2312" w:eastAsia="仿宋_GB2312" w:hAnsi="仿宋_GB2312" w:cs="仿宋_GB2312" w:hint="eastAsia"/>
          <w:kern w:val="0"/>
          <w:sz w:val="32"/>
          <w:szCs w:val="32"/>
        </w:rPr>
        <w:t>指市财政当年拨付的资金。</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二、其他收入：</w:t>
      </w:r>
      <w:r>
        <w:rPr>
          <w:rFonts w:ascii="仿宋_GB2312" w:eastAsia="仿宋_GB2312" w:hAnsi="仿宋_GB2312" w:cs="仿宋_GB2312" w:hint="eastAsia"/>
          <w:kern w:val="0"/>
          <w:sz w:val="32"/>
          <w:szCs w:val="32"/>
        </w:rPr>
        <w:t>指除上述“财政拨款收入”以外的收入。主要是上级主管部门拨付的补助经费及存款利息收入等。</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三、年初结转和结余：</w:t>
      </w:r>
      <w:r>
        <w:rPr>
          <w:rFonts w:ascii="仿宋_GB2312" w:eastAsia="仿宋_GB2312" w:hAnsi="仿宋_GB2312" w:cs="仿宋_GB2312" w:hint="eastAsia"/>
          <w:kern w:val="0"/>
          <w:sz w:val="32"/>
          <w:szCs w:val="32"/>
        </w:rPr>
        <w:t>指以前年度尚未完成、结转到本年按有关规定继续使用的资金。</w:t>
      </w:r>
    </w:p>
    <w:p w:rsidR="00FD7D88" w:rsidRDefault="002E60C1">
      <w:pPr>
        <w:autoSpaceDE w:val="0"/>
        <w:autoSpaceDN w:val="0"/>
        <w:adjustRightInd w:val="0"/>
        <w:spacing w:line="56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lastRenderedPageBreak/>
        <w:t>四、一般公共服务（类）财政事务（款）行政运行（项）：</w:t>
      </w:r>
    </w:p>
    <w:p w:rsidR="00FD7D88" w:rsidRDefault="002E60C1">
      <w:pPr>
        <w:autoSpaceDE w:val="0"/>
        <w:autoSpaceDN w:val="0"/>
        <w:adjustRightInd w:val="0"/>
        <w:spacing w:line="56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指市</w:t>
      </w:r>
      <w:proofErr w:type="gramStart"/>
      <w:r>
        <w:rPr>
          <w:rFonts w:ascii="仿宋_GB2312" w:eastAsia="仿宋_GB2312" w:hAnsi="仿宋_GB2312" w:cs="仿宋_GB2312" w:hint="eastAsia"/>
          <w:kern w:val="0"/>
          <w:sz w:val="32"/>
          <w:szCs w:val="32"/>
        </w:rPr>
        <w:t>蕉华管理</w:t>
      </w:r>
      <w:proofErr w:type="gramEnd"/>
      <w:r>
        <w:rPr>
          <w:rFonts w:ascii="仿宋_GB2312" w:eastAsia="仿宋_GB2312" w:hAnsi="仿宋_GB2312" w:cs="仿宋_GB2312" w:hint="eastAsia"/>
          <w:kern w:val="0"/>
          <w:sz w:val="32"/>
          <w:szCs w:val="32"/>
        </w:rPr>
        <w:t>区</w:t>
      </w:r>
      <w:r>
        <w:rPr>
          <w:rFonts w:ascii="仿宋_GB2312" w:eastAsia="仿宋_GB2312" w:hAnsi="新宋体" w:cs="宋体" w:hint="eastAsia"/>
          <w:color w:val="333333"/>
          <w:kern w:val="0"/>
          <w:sz w:val="32"/>
          <w:szCs w:val="32"/>
        </w:rPr>
        <w:t>、办事处、田家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中学和田家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小学</w:t>
      </w:r>
      <w:r>
        <w:rPr>
          <w:rFonts w:ascii="仿宋_GB2312" w:eastAsia="仿宋_GB2312" w:hAnsi="仿宋_GB2312" w:cs="仿宋_GB2312" w:hint="eastAsia"/>
          <w:kern w:val="0"/>
          <w:sz w:val="32"/>
          <w:szCs w:val="32"/>
        </w:rPr>
        <w:t>用于保障机构正常运行、开展日常工作的基本支出。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color w:val="FF0000"/>
          <w:kern w:val="0"/>
          <w:sz w:val="32"/>
          <w:szCs w:val="32"/>
        </w:rPr>
      </w:pPr>
      <w:r>
        <w:rPr>
          <w:rFonts w:ascii="仿宋_GB2312" w:eastAsia="仿宋_GB2312" w:hAnsi="仿宋_GB2312" w:cs="仿宋_GB2312" w:hint="eastAsia"/>
          <w:b/>
          <w:kern w:val="0"/>
          <w:sz w:val="32"/>
          <w:szCs w:val="32"/>
        </w:rPr>
        <w:t>五、一般公共服务（类）财政事务（款）一般行政管理事务（项）：</w:t>
      </w:r>
      <w:r>
        <w:rPr>
          <w:rFonts w:ascii="仿宋_GB2312" w:eastAsia="仿宋_GB2312" w:hAnsi="仿宋_GB2312" w:cs="仿宋_GB2312" w:hint="eastAsia"/>
          <w:kern w:val="0"/>
          <w:sz w:val="32"/>
          <w:szCs w:val="32"/>
        </w:rPr>
        <w:t>指用于政府工程项目投资审核、市直单位重点项目委托第三方</w:t>
      </w:r>
      <w:r>
        <w:rPr>
          <w:rFonts w:ascii="仿宋_GB2312" w:eastAsia="仿宋_GB2312" w:hAnsi="仿宋_GB2312" w:cs="仿宋_GB2312" w:hint="eastAsia"/>
          <w:sz w:val="32"/>
          <w:szCs w:val="32"/>
        </w:rPr>
        <w:t>绩效</w:t>
      </w:r>
      <w:r>
        <w:rPr>
          <w:rFonts w:ascii="仿宋_GB2312" w:eastAsia="仿宋_GB2312" w:hAnsi="仿宋_GB2312" w:cs="仿宋_GB2312" w:hint="eastAsia"/>
          <w:kern w:val="0"/>
          <w:sz w:val="32"/>
          <w:szCs w:val="32"/>
        </w:rPr>
        <w:t>评价、非税收入管理系统运行维护、统发工资系统运行维护等财政项目管理工作的项目支出。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六、一般公共服务（类）财政事务（款）机关服务（项）：</w:t>
      </w:r>
      <w:r>
        <w:rPr>
          <w:rFonts w:ascii="仿宋_GB2312" w:eastAsia="仿宋_GB2312" w:hAnsi="仿宋_GB2312" w:cs="仿宋_GB2312" w:hint="eastAsia"/>
          <w:kern w:val="0"/>
          <w:sz w:val="32"/>
          <w:szCs w:val="32"/>
        </w:rPr>
        <w:t>指市</w:t>
      </w:r>
      <w:proofErr w:type="gramStart"/>
      <w:r>
        <w:rPr>
          <w:rFonts w:ascii="仿宋_GB2312" w:eastAsia="仿宋_GB2312" w:hAnsi="仿宋_GB2312" w:cs="仿宋_GB2312" w:hint="eastAsia"/>
          <w:kern w:val="0"/>
          <w:sz w:val="32"/>
          <w:szCs w:val="32"/>
        </w:rPr>
        <w:t>蕉华管理</w:t>
      </w:r>
      <w:proofErr w:type="gramEnd"/>
      <w:r>
        <w:rPr>
          <w:rFonts w:ascii="仿宋_GB2312" w:eastAsia="仿宋_GB2312" w:hAnsi="仿宋_GB2312" w:cs="仿宋_GB2312" w:hint="eastAsia"/>
          <w:kern w:val="0"/>
          <w:sz w:val="32"/>
          <w:szCs w:val="32"/>
        </w:rPr>
        <w:t>区</w:t>
      </w:r>
      <w:r>
        <w:rPr>
          <w:rFonts w:ascii="仿宋_GB2312" w:eastAsia="仿宋_GB2312" w:hAnsi="新宋体" w:cs="宋体" w:hint="eastAsia"/>
          <w:color w:val="333333"/>
          <w:kern w:val="0"/>
          <w:sz w:val="32"/>
          <w:szCs w:val="32"/>
        </w:rPr>
        <w:t>、办事处、田家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中学和田家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小学</w:t>
      </w:r>
      <w:r>
        <w:rPr>
          <w:rFonts w:ascii="仿宋_GB2312" w:eastAsia="仿宋_GB2312" w:hAnsi="仿宋_GB2312" w:cs="仿宋_GB2312" w:hint="eastAsia"/>
          <w:kern w:val="0"/>
          <w:sz w:val="32"/>
          <w:szCs w:val="32"/>
        </w:rPr>
        <w:t>为保障机构正常运行、开展日常工作的基本支出。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七、一般公共服务（类）财政事务（款）财政国库业务（项）：</w:t>
      </w:r>
      <w:r>
        <w:rPr>
          <w:rFonts w:ascii="仿宋_GB2312" w:eastAsia="仿宋_GB2312" w:hAnsi="仿宋_GB2312" w:cs="仿宋_GB2312" w:hint="eastAsia"/>
          <w:kern w:val="0"/>
          <w:sz w:val="32"/>
          <w:szCs w:val="32"/>
        </w:rPr>
        <w:t>指市</w:t>
      </w:r>
      <w:proofErr w:type="gramStart"/>
      <w:r>
        <w:rPr>
          <w:rFonts w:ascii="仿宋_GB2312" w:eastAsia="仿宋_GB2312" w:hAnsi="仿宋_GB2312" w:cs="仿宋_GB2312" w:hint="eastAsia"/>
          <w:kern w:val="0"/>
          <w:sz w:val="32"/>
          <w:szCs w:val="32"/>
        </w:rPr>
        <w:t>蕉华管理</w:t>
      </w:r>
      <w:proofErr w:type="gramEnd"/>
      <w:r>
        <w:rPr>
          <w:rFonts w:ascii="仿宋_GB2312" w:eastAsia="仿宋_GB2312" w:hAnsi="仿宋_GB2312" w:cs="仿宋_GB2312" w:hint="eastAsia"/>
          <w:kern w:val="0"/>
          <w:sz w:val="32"/>
          <w:szCs w:val="32"/>
        </w:rPr>
        <w:t>区用于财政国库集中收</w:t>
      </w:r>
      <w:proofErr w:type="gramStart"/>
      <w:r>
        <w:rPr>
          <w:rFonts w:ascii="仿宋_GB2312" w:eastAsia="仿宋_GB2312" w:hAnsi="仿宋_GB2312" w:cs="仿宋_GB2312" w:hint="eastAsia"/>
          <w:kern w:val="0"/>
          <w:sz w:val="32"/>
          <w:szCs w:val="32"/>
        </w:rPr>
        <w:t>付业务</w:t>
      </w:r>
      <w:proofErr w:type="gramEnd"/>
      <w:r>
        <w:rPr>
          <w:rFonts w:ascii="仿宋_GB2312" w:eastAsia="仿宋_GB2312" w:hAnsi="仿宋_GB2312" w:cs="仿宋_GB2312" w:hint="eastAsia"/>
          <w:kern w:val="0"/>
          <w:sz w:val="32"/>
          <w:szCs w:val="32"/>
        </w:rPr>
        <w:t>及国库支付中心系统运行维护方面的项目支出。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八、一般公共服务（类）财政事务（款）信息化建设（项）：</w:t>
      </w:r>
      <w:r>
        <w:rPr>
          <w:rFonts w:ascii="仿宋_GB2312" w:eastAsia="仿宋_GB2312" w:hAnsi="仿宋_GB2312" w:cs="仿宋_GB2312" w:hint="eastAsia"/>
          <w:kern w:val="0"/>
          <w:sz w:val="32"/>
          <w:szCs w:val="32"/>
        </w:rPr>
        <w:t>指市</w:t>
      </w:r>
      <w:proofErr w:type="gramStart"/>
      <w:r>
        <w:rPr>
          <w:rFonts w:ascii="仿宋_GB2312" w:eastAsia="仿宋_GB2312" w:hAnsi="仿宋_GB2312" w:cs="仿宋_GB2312" w:hint="eastAsia"/>
          <w:kern w:val="0"/>
          <w:sz w:val="32"/>
          <w:szCs w:val="32"/>
        </w:rPr>
        <w:t>蕉华管理</w:t>
      </w:r>
      <w:proofErr w:type="gramEnd"/>
      <w:r>
        <w:rPr>
          <w:rFonts w:ascii="仿宋_GB2312" w:eastAsia="仿宋_GB2312" w:hAnsi="仿宋_GB2312" w:cs="仿宋_GB2312" w:hint="eastAsia"/>
          <w:kern w:val="0"/>
          <w:sz w:val="32"/>
          <w:szCs w:val="32"/>
        </w:rPr>
        <w:t>区用于信息化建设方面的项目支出。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九、一般公共服务（类）财政事务（款）事业运行（项）：</w:t>
      </w:r>
      <w:r>
        <w:rPr>
          <w:rFonts w:ascii="仿宋_GB2312" w:eastAsia="仿宋_GB2312" w:hAnsi="仿宋_GB2312" w:cs="仿宋_GB2312" w:hint="eastAsia"/>
          <w:kern w:val="0"/>
          <w:sz w:val="32"/>
          <w:szCs w:val="32"/>
        </w:rPr>
        <w:t>指市</w:t>
      </w:r>
      <w:proofErr w:type="gramStart"/>
      <w:r>
        <w:rPr>
          <w:rFonts w:ascii="仿宋_GB2312" w:eastAsia="仿宋_GB2312" w:hAnsi="仿宋_GB2312" w:cs="仿宋_GB2312" w:hint="eastAsia"/>
          <w:kern w:val="0"/>
          <w:sz w:val="32"/>
          <w:szCs w:val="32"/>
        </w:rPr>
        <w:t>蕉华管理</w:t>
      </w:r>
      <w:proofErr w:type="gramEnd"/>
      <w:r>
        <w:rPr>
          <w:rFonts w:ascii="仿宋_GB2312" w:eastAsia="仿宋_GB2312" w:hAnsi="仿宋_GB2312" w:cs="仿宋_GB2312" w:hint="eastAsia"/>
          <w:kern w:val="0"/>
          <w:sz w:val="32"/>
          <w:szCs w:val="32"/>
        </w:rPr>
        <w:t>区</w:t>
      </w:r>
      <w:r>
        <w:rPr>
          <w:rFonts w:ascii="仿宋_GB2312" w:eastAsia="仿宋_GB2312" w:hAnsi="新宋体" w:cs="宋体" w:hint="eastAsia"/>
          <w:color w:val="333333"/>
          <w:kern w:val="0"/>
          <w:sz w:val="32"/>
          <w:szCs w:val="32"/>
        </w:rPr>
        <w:t>、办事处、田家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中学和田家</w:t>
      </w:r>
      <w:proofErr w:type="gramStart"/>
      <w:r>
        <w:rPr>
          <w:rFonts w:ascii="仿宋_GB2312" w:eastAsia="仿宋_GB2312" w:hAnsi="新宋体" w:cs="宋体" w:hint="eastAsia"/>
          <w:color w:val="333333"/>
          <w:kern w:val="0"/>
          <w:sz w:val="32"/>
          <w:szCs w:val="32"/>
        </w:rPr>
        <w:t>炳</w:t>
      </w:r>
      <w:proofErr w:type="gramEnd"/>
      <w:r>
        <w:rPr>
          <w:rFonts w:ascii="仿宋_GB2312" w:eastAsia="仿宋_GB2312" w:hAnsi="新宋体" w:cs="宋体" w:hint="eastAsia"/>
          <w:color w:val="333333"/>
          <w:kern w:val="0"/>
          <w:sz w:val="32"/>
          <w:szCs w:val="32"/>
        </w:rPr>
        <w:t>小学</w:t>
      </w:r>
      <w:r>
        <w:rPr>
          <w:rFonts w:ascii="仿宋_GB2312" w:eastAsia="仿宋_GB2312" w:hAnsi="仿宋_GB2312" w:cs="仿宋_GB2312" w:hint="eastAsia"/>
          <w:kern w:val="0"/>
          <w:sz w:val="32"/>
          <w:szCs w:val="32"/>
        </w:rPr>
        <w:t>用于保障机构正常运行、开展日常工作的基本支出。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十、一般公共服务（类）财政事务（款）其他财政事务支出（项）：</w:t>
      </w:r>
      <w:r>
        <w:rPr>
          <w:rFonts w:ascii="仿宋_GB2312" w:eastAsia="仿宋_GB2312" w:hAnsi="仿宋_GB2312" w:cs="仿宋_GB2312" w:hint="eastAsia"/>
          <w:kern w:val="0"/>
          <w:sz w:val="32"/>
          <w:szCs w:val="32"/>
        </w:rPr>
        <w:t>指市</w:t>
      </w:r>
      <w:proofErr w:type="gramStart"/>
      <w:r>
        <w:rPr>
          <w:rFonts w:ascii="仿宋_GB2312" w:eastAsia="仿宋_GB2312" w:hAnsi="仿宋_GB2312" w:cs="仿宋_GB2312" w:hint="eastAsia"/>
          <w:kern w:val="0"/>
          <w:sz w:val="32"/>
          <w:szCs w:val="32"/>
        </w:rPr>
        <w:t>蕉华管理</w:t>
      </w:r>
      <w:proofErr w:type="gramEnd"/>
      <w:r>
        <w:rPr>
          <w:rFonts w:ascii="仿宋_GB2312" w:eastAsia="仿宋_GB2312" w:hAnsi="仿宋_GB2312" w:cs="仿宋_GB2312" w:hint="eastAsia"/>
          <w:kern w:val="0"/>
          <w:sz w:val="32"/>
          <w:szCs w:val="32"/>
        </w:rPr>
        <w:t>区除上述项目外，开展其他财政事务方面专门性工作任务的项目支出。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十一、社会保障和就业（类）行政事业单位离退休（款）归口管理的行政（事业）单位离退休（项）：</w:t>
      </w:r>
      <w:r>
        <w:rPr>
          <w:rFonts w:ascii="仿宋_GB2312" w:eastAsia="仿宋_GB2312" w:hAnsi="仿宋_GB2312" w:cs="仿宋_GB2312" w:hint="eastAsia"/>
          <w:kern w:val="0"/>
          <w:sz w:val="32"/>
          <w:szCs w:val="32"/>
        </w:rPr>
        <w:t>指离退休人员经费的支出。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lastRenderedPageBreak/>
        <w:t>十三、住房保障（类）住房改革支出（款）住房公积金（项）：</w:t>
      </w:r>
      <w:r>
        <w:rPr>
          <w:rFonts w:ascii="仿宋_GB2312" w:eastAsia="仿宋_GB2312" w:hAnsi="仿宋_GB2312" w:cs="仿宋_GB2312" w:hint="eastAsia"/>
          <w:kern w:val="0"/>
          <w:sz w:val="32"/>
          <w:szCs w:val="32"/>
        </w:rPr>
        <w:t>指按照《住房公积金管理条例》的规定，由单位及其在职职工缴存的长期住房储金。行政单位缴存基数包括国家统一规定的公务员职务工资、级别工资、机关工人岗位工资和技术等级（职务）工资及规范后发放的工作性津贴、生活性补贴等；事业单位缴存基数包括国家统一规定的岗位工资、薪级工资及特殊岗位津贴等。</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十四、年末结转和结余：</w:t>
      </w:r>
      <w:r>
        <w:rPr>
          <w:rFonts w:ascii="仿宋_GB2312" w:eastAsia="仿宋_GB2312" w:hAnsi="仿宋_GB2312" w:cs="仿宋_GB2312" w:hint="eastAsia"/>
          <w:kern w:val="0"/>
          <w:sz w:val="32"/>
          <w:szCs w:val="32"/>
        </w:rPr>
        <w:t>指本年度或以前年度预算安排、因客观条件发生变化无法按原计划实施，需要延迟到以后年度按有关规定继续使用的资金。</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十五、基本支出：</w:t>
      </w:r>
      <w:r>
        <w:rPr>
          <w:rFonts w:ascii="仿宋_GB2312" w:eastAsia="仿宋_GB2312" w:hAnsi="仿宋_GB2312" w:cs="仿宋_GB2312" w:hint="eastAsia"/>
          <w:kern w:val="0"/>
          <w:sz w:val="32"/>
          <w:szCs w:val="32"/>
        </w:rPr>
        <w:t>指为保障机构正常运转、完成日常工作任务而发生的人员支出和公用支出。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十六、项目支出：</w:t>
      </w:r>
      <w:r>
        <w:rPr>
          <w:rFonts w:ascii="仿宋_GB2312" w:eastAsia="仿宋_GB2312" w:hAnsi="仿宋_GB2312" w:cs="仿宋_GB2312" w:hint="eastAsia"/>
          <w:kern w:val="0"/>
          <w:sz w:val="32"/>
          <w:szCs w:val="32"/>
        </w:rPr>
        <w:t>指在基本支出之外为完成特定行政任务和事业发展目标所发生的支出。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十七、 “三公”经费：</w:t>
      </w:r>
      <w:r>
        <w:rPr>
          <w:rFonts w:ascii="仿宋_GB2312" w:eastAsia="仿宋_GB2312" w:hAnsi="仿宋_GB2312" w:cs="仿宋_GB2312" w:hint="eastAsia"/>
          <w:kern w:val="0"/>
          <w:sz w:val="32"/>
          <w:szCs w:val="32"/>
        </w:rPr>
        <w:t>纳入财政预决算管理的“三公”经费，是指用财政拨款安排因公出国（境）费、公务用车购置及运行费及公务接待费。其中，因公出国（境）</w:t>
      </w:r>
      <w:proofErr w:type="gramStart"/>
      <w:r>
        <w:rPr>
          <w:rFonts w:ascii="仿宋_GB2312" w:eastAsia="仿宋_GB2312" w:hAnsi="仿宋_GB2312" w:cs="仿宋_GB2312" w:hint="eastAsia"/>
          <w:kern w:val="0"/>
          <w:sz w:val="32"/>
          <w:szCs w:val="32"/>
        </w:rPr>
        <w:t>费反映</w:t>
      </w:r>
      <w:proofErr w:type="gramEnd"/>
      <w:r>
        <w:rPr>
          <w:rFonts w:ascii="仿宋_GB2312" w:eastAsia="仿宋_GB2312" w:hAnsi="仿宋_GB2312" w:cs="仿宋_GB2312" w:hint="eastAsia"/>
          <w:kern w:val="0"/>
          <w:sz w:val="32"/>
          <w:szCs w:val="32"/>
        </w:rPr>
        <w:t>单位公务出国出境的国际旅费、国外城市间交通费、住宿费、伙食费、培训费、公杂费等支出；公务用车购置及运行</w:t>
      </w:r>
      <w:proofErr w:type="gramStart"/>
      <w:r>
        <w:rPr>
          <w:rFonts w:ascii="仿宋_GB2312" w:eastAsia="仿宋_GB2312" w:hAnsi="仿宋_GB2312" w:cs="仿宋_GB2312" w:hint="eastAsia"/>
          <w:kern w:val="0"/>
          <w:sz w:val="32"/>
          <w:szCs w:val="32"/>
        </w:rPr>
        <w:t>费反映</w:t>
      </w:r>
      <w:proofErr w:type="gramEnd"/>
      <w:r>
        <w:rPr>
          <w:rFonts w:ascii="仿宋_GB2312" w:eastAsia="仿宋_GB2312" w:hAnsi="仿宋_GB2312" w:cs="仿宋_GB2312" w:hint="eastAsia"/>
          <w:kern w:val="0"/>
          <w:sz w:val="32"/>
          <w:szCs w:val="32"/>
        </w:rPr>
        <w:t>单位公务用车车辆购置支出（</w:t>
      </w:r>
      <w:proofErr w:type="gramStart"/>
      <w:r>
        <w:rPr>
          <w:rFonts w:ascii="仿宋_GB2312" w:eastAsia="仿宋_GB2312" w:hAnsi="仿宋_GB2312" w:cs="仿宋_GB2312" w:hint="eastAsia"/>
          <w:kern w:val="0"/>
          <w:sz w:val="32"/>
          <w:szCs w:val="32"/>
        </w:rPr>
        <w:t>含车辆</w:t>
      </w:r>
      <w:proofErr w:type="gramEnd"/>
      <w:r>
        <w:rPr>
          <w:rFonts w:ascii="仿宋_GB2312" w:eastAsia="仿宋_GB2312" w:hAnsi="仿宋_GB2312" w:cs="仿宋_GB2312" w:hint="eastAsia"/>
          <w:kern w:val="0"/>
          <w:sz w:val="32"/>
          <w:szCs w:val="32"/>
        </w:rPr>
        <w:t>购置税）及租用费、燃料费、维修费、过路过桥费、保险费、安全奖励费用等支出；公务接待</w:t>
      </w:r>
      <w:proofErr w:type="gramStart"/>
      <w:r>
        <w:rPr>
          <w:rFonts w:ascii="仿宋_GB2312" w:eastAsia="仿宋_GB2312" w:hAnsi="仿宋_GB2312" w:cs="仿宋_GB2312" w:hint="eastAsia"/>
          <w:kern w:val="0"/>
          <w:sz w:val="32"/>
          <w:szCs w:val="32"/>
        </w:rPr>
        <w:t>费反映</w:t>
      </w:r>
      <w:proofErr w:type="gramEnd"/>
      <w:r>
        <w:rPr>
          <w:rFonts w:ascii="仿宋_GB2312" w:eastAsia="仿宋_GB2312" w:hAnsi="仿宋_GB2312" w:cs="仿宋_GB2312" w:hint="eastAsia"/>
          <w:kern w:val="0"/>
          <w:sz w:val="32"/>
          <w:szCs w:val="32"/>
        </w:rPr>
        <w:t>单位按规定开支的各类公务接待支出。</w:t>
      </w:r>
    </w:p>
    <w:p w:rsidR="00FD7D88" w:rsidRDefault="002E60C1">
      <w:pPr>
        <w:autoSpaceDE w:val="0"/>
        <w:autoSpaceDN w:val="0"/>
        <w:adjustRightInd w:val="0"/>
        <w:spacing w:line="56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十八、机关运行经费：</w:t>
      </w:r>
      <w:r>
        <w:rPr>
          <w:rFonts w:ascii="仿宋_GB2312" w:eastAsia="仿宋_GB2312" w:hAnsi="仿宋_GB2312" w:cs="仿宋_GB2312" w:hint="eastAsia"/>
          <w:kern w:val="0"/>
          <w:sz w:val="32"/>
          <w:szCs w:val="32"/>
        </w:rPr>
        <w:t>为保障行政单位（含参照公务员法管理的事业单位）运行用于购买货物和服务的各项资金，</w:t>
      </w:r>
      <w:r>
        <w:rPr>
          <w:rFonts w:ascii="仿宋_GB2312" w:eastAsia="仿宋_GB2312" w:hAnsi="仿宋_GB2312" w:cs="仿宋_GB2312" w:hint="eastAsia"/>
          <w:kern w:val="0"/>
          <w:sz w:val="32"/>
          <w:szCs w:val="32"/>
        </w:rPr>
        <w:lastRenderedPageBreak/>
        <w:t>包括办公及印刷费、邮电费、差旅费、会议费、公务接待费、福利费、日常维修费、专用材料费及一般设备购置费、水电费、物业管理费、公务用车运行维护费、其他交通费用等其他费用。</w:t>
      </w:r>
    </w:p>
    <w:p w:rsidR="00FD7D88" w:rsidRPr="00CC68A2" w:rsidRDefault="00FD7D88" w:rsidP="00CC68A2">
      <w:pPr>
        <w:widowControl/>
        <w:jc w:val="left"/>
        <w:rPr>
          <w:rFonts w:ascii="仿宋_GB2312" w:eastAsia="仿宋_GB2312" w:hAnsi="仿宋_GB2312" w:cs="仿宋_GB2312"/>
        </w:rPr>
      </w:pPr>
      <w:bookmarkStart w:id="0" w:name="_GoBack"/>
      <w:bookmarkEnd w:id="0"/>
    </w:p>
    <w:sectPr w:rsidR="00FD7D88" w:rsidRPr="00CC68A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623" w:rsidRDefault="002E60C1">
      <w:r>
        <w:separator/>
      </w:r>
    </w:p>
  </w:endnote>
  <w:endnote w:type="continuationSeparator" w:id="0">
    <w:p w:rsidR="006F0623" w:rsidRDefault="002E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D88" w:rsidRDefault="002E60C1">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D7D88" w:rsidRDefault="002E60C1">
                          <w:pPr>
                            <w:pStyle w:val="a3"/>
                            <w:rPr>
                              <w:rFonts w:eastAsia="宋体"/>
                            </w:rPr>
                          </w:pPr>
                          <w:r>
                            <w:rPr>
                              <w:rFonts w:hint="eastAsia"/>
                            </w:rPr>
                            <w:fldChar w:fldCharType="begin"/>
                          </w:r>
                          <w:r>
                            <w:rPr>
                              <w:rFonts w:hint="eastAsia"/>
                            </w:rPr>
                            <w:instrText xml:space="preserve"> PAGE  \* MERGEFORMAT </w:instrText>
                          </w:r>
                          <w:r>
                            <w:rPr>
                              <w:rFonts w:hint="eastAsia"/>
                            </w:rPr>
                            <w:fldChar w:fldCharType="separate"/>
                          </w:r>
                          <w:r w:rsidR="00CC68A2">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D7D88" w:rsidRDefault="002E60C1">
                    <w:pPr>
                      <w:pStyle w:val="a3"/>
                      <w:rPr>
                        <w:rFonts w:eastAsia="宋体"/>
                      </w:rPr>
                    </w:pPr>
                    <w:r>
                      <w:rPr>
                        <w:rFonts w:hint="eastAsia"/>
                      </w:rPr>
                      <w:fldChar w:fldCharType="begin"/>
                    </w:r>
                    <w:r>
                      <w:rPr>
                        <w:rFonts w:hint="eastAsia"/>
                      </w:rPr>
                      <w:instrText xml:space="preserve"> PAGE  \* MERGEFORMAT </w:instrText>
                    </w:r>
                    <w:r>
                      <w:rPr>
                        <w:rFonts w:hint="eastAsia"/>
                      </w:rPr>
                      <w:fldChar w:fldCharType="separate"/>
                    </w:r>
                    <w:r w:rsidR="00CC68A2">
                      <w:rPr>
                        <w:noProof/>
                      </w:rPr>
                      <w:t>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623" w:rsidRDefault="002E60C1">
      <w:r>
        <w:separator/>
      </w:r>
    </w:p>
  </w:footnote>
  <w:footnote w:type="continuationSeparator" w:id="0">
    <w:p w:rsidR="006F0623" w:rsidRDefault="002E60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A3522"/>
    <w:rsid w:val="002E60C1"/>
    <w:rsid w:val="003C7CC2"/>
    <w:rsid w:val="006E5FC5"/>
    <w:rsid w:val="006F0623"/>
    <w:rsid w:val="00722036"/>
    <w:rsid w:val="00CC68A2"/>
    <w:rsid w:val="00FD7D88"/>
    <w:rsid w:val="011E6B22"/>
    <w:rsid w:val="0128435B"/>
    <w:rsid w:val="01625912"/>
    <w:rsid w:val="017E6AB9"/>
    <w:rsid w:val="02556279"/>
    <w:rsid w:val="029F2D6A"/>
    <w:rsid w:val="037F468B"/>
    <w:rsid w:val="03BE6A7A"/>
    <w:rsid w:val="040E15EF"/>
    <w:rsid w:val="05182F87"/>
    <w:rsid w:val="089A76F4"/>
    <w:rsid w:val="091B10A7"/>
    <w:rsid w:val="09257746"/>
    <w:rsid w:val="0A6241E4"/>
    <w:rsid w:val="0C110C9F"/>
    <w:rsid w:val="0C393744"/>
    <w:rsid w:val="0D770720"/>
    <w:rsid w:val="0D9A31E9"/>
    <w:rsid w:val="0DC2641D"/>
    <w:rsid w:val="0DC44C41"/>
    <w:rsid w:val="0DD42838"/>
    <w:rsid w:val="0F9C39CA"/>
    <w:rsid w:val="10A501FE"/>
    <w:rsid w:val="118307F9"/>
    <w:rsid w:val="14767E0D"/>
    <w:rsid w:val="14D33C4C"/>
    <w:rsid w:val="161443C3"/>
    <w:rsid w:val="161E140C"/>
    <w:rsid w:val="16320918"/>
    <w:rsid w:val="16637D79"/>
    <w:rsid w:val="16B44A24"/>
    <w:rsid w:val="18D41862"/>
    <w:rsid w:val="1B5000D4"/>
    <w:rsid w:val="1BE750F1"/>
    <w:rsid w:val="1BEA3522"/>
    <w:rsid w:val="1BFF4B7B"/>
    <w:rsid w:val="1C293199"/>
    <w:rsid w:val="1C4C47F9"/>
    <w:rsid w:val="1C5F5DF9"/>
    <w:rsid w:val="1C6F6990"/>
    <w:rsid w:val="1CB424B2"/>
    <w:rsid w:val="1D6B13D7"/>
    <w:rsid w:val="1E427DCC"/>
    <w:rsid w:val="1F6B528E"/>
    <w:rsid w:val="204F652A"/>
    <w:rsid w:val="217816C8"/>
    <w:rsid w:val="22582312"/>
    <w:rsid w:val="22643BB2"/>
    <w:rsid w:val="23E677CA"/>
    <w:rsid w:val="249D24C6"/>
    <w:rsid w:val="252A3E95"/>
    <w:rsid w:val="25524D28"/>
    <w:rsid w:val="264165BA"/>
    <w:rsid w:val="26A7645F"/>
    <w:rsid w:val="274925A7"/>
    <w:rsid w:val="2C202D16"/>
    <w:rsid w:val="2D7C0413"/>
    <w:rsid w:val="2E6F18AE"/>
    <w:rsid w:val="2FFE3D80"/>
    <w:rsid w:val="31320186"/>
    <w:rsid w:val="338C5AD3"/>
    <w:rsid w:val="345C1AE3"/>
    <w:rsid w:val="35240110"/>
    <w:rsid w:val="355C50F4"/>
    <w:rsid w:val="360D7F2E"/>
    <w:rsid w:val="378628F6"/>
    <w:rsid w:val="38283073"/>
    <w:rsid w:val="3942065C"/>
    <w:rsid w:val="39C0341A"/>
    <w:rsid w:val="3A8766CA"/>
    <w:rsid w:val="3AC8611F"/>
    <w:rsid w:val="3C264A07"/>
    <w:rsid w:val="3D4C6DB5"/>
    <w:rsid w:val="3FC75CCB"/>
    <w:rsid w:val="41C016BF"/>
    <w:rsid w:val="422C1A84"/>
    <w:rsid w:val="42356265"/>
    <w:rsid w:val="423D1DDE"/>
    <w:rsid w:val="43127F3B"/>
    <w:rsid w:val="4537136E"/>
    <w:rsid w:val="467B4339"/>
    <w:rsid w:val="47750BBF"/>
    <w:rsid w:val="48175BA8"/>
    <w:rsid w:val="48AB4873"/>
    <w:rsid w:val="497032F3"/>
    <w:rsid w:val="49B92374"/>
    <w:rsid w:val="4A1F1EBC"/>
    <w:rsid w:val="4BB10A55"/>
    <w:rsid w:val="4C714208"/>
    <w:rsid w:val="4CE2064C"/>
    <w:rsid w:val="4D25165E"/>
    <w:rsid w:val="4E7F7B2F"/>
    <w:rsid w:val="4EA95ECB"/>
    <w:rsid w:val="4F4340F9"/>
    <w:rsid w:val="522D5347"/>
    <w:rsid w:val="5254323D"/>
    <w:rsid w:val="529A4992"/>
    <w:rsid w:val="532220BF"/>
    <w:rsid w:val="53B76CC1"/>
    <w:rsid w:val="55DF6FCC"/>
    <w:rsid w:val="573250E1"/>
    <w:rsid w:val="583A1674"/>
    <w:rsid w:val="587568B2"/>
    <w:rsid w:val="5A5C04EF"/>
    <w:rsid w:val="5BC91F4F"/>
    <w:rsid w:val="5C0E18B0"/>
    <w:rsid w:val="5CE55B4C"/>
    <w:rsid w:val="5D002F9D"/>
    <w:rsid w:val="5E6A6AD7"/>
    <w:rsid w:val="5EBD3F09"/>
    <w:rsid w:val="5F2F4A0B"/>
    <w:rsid w:val="5F8845FD"/>
    <w:rsid w:val="5FC405E5"/>
    <w:rsid w:val="60C427C0"/>
    <w:rsid w:val="6279254F"/>
    <w:rsid w:val="627F256A"/>
    <w:rsid w:val="62F370C1"/>
    <w:rsid w:val="639A2C85"/>
    <w:rsid w:val="640928C7"/>
    <w:rsid w:val="64424861"/>
    <w:rsid w:val="64D60543"/>
    <w:rsid w:val="65C14652"/>
    <w:rsid w:val="68030297"/>
    <w:rsid w:val="6889000A"/>
    <w:rsid w:val="68C21B93"/>
    <w:rsid w:val="699E10F2"/>
    <w:rsid w:val="6B347759"/>
    <w:rsid w:val="6D8735AC"/>
    <w:rsid w:val="6F497099"/>
    <w:rsid w:val="6F5505D3"/>
    <w:rsid w:val="703901F2"/>
    <w:rsid w:val="70B32061"/>
    <w:rsid w:val="718E7B22"/>
    <w:rsid w:val="728557F5"/>
    <w:rsid w:val="72D75B22"/>
    <w:rsid w:val="73D50198"/>
    <w:rsid w:val="749E29C0"/>
    <w:rsid w:val="74C72728"/>
    <w:rsid w:val="75E92B3C"/>
    <w:rsid w:val="783833B2"/>
    <w:rsid w:val="78AD446D"/>
    <w:rsid w:val="79F6350B"/>
    <w:rsid w:val="7A1D1FA8"/>
    <w:rsid w:val="7B5F3A5B"/>
    <w:rsid w:val="7C117B7C"/>
    <w:rsid w:val="7C8865A6"/>
    <w:rsid w:val="7CB43D4D"/>
    <w:rsid w:val="7D4743F2"/>
    <w:rsid w:val="7DA441E1"/>
    <w:rsid w:val="7E8F65D3"/>
    <w:rsid w:val="7FC73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22"/>
    <w:qFormat/>
    <w:rsid w:val="002E60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22"/>
    <w:qFormat/>
    <w:rsid w:val="002E6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999759">
      <w:bodyDiv w:val="1"/>
      <w:marLeft w:val="0"/>
      <w:marRight w:val="0"/>
      <w:marTop w:val="0"/>
      <w:marBottom w:val="0"/>
      <w:divBdr>
        <w:top w:val="none" w:sz="0" w:space="0" w:color="auto"/>
        <w:left w:val="none" w:sz="0" w:space="0" w:color="auto"/>
        <w:bottom w:val="none" w:sz="0" w:space="0" w:color="auto"/>
        <w:right w:val="none" w:sz="0" w:space="0" w:color="auto"/>
      </w:divBdr>
      <w:divsChild>
        <w:div w:id="56557678">
          <w:marLeft w:val="0"/>
          <w:marRight w:val="0"/>
          <w:marTop w:val="0"/>
          <w:marBottom w:val="0"/>
          <w:divBdr>
            <w:top w:val="none" w:sz="0" w:space="0" w:color="auto"/>
            <w:left w:val="none" w:sz="0" w:space="0" w:color="auto"/>
            <w:bottom w:val="none" w:sz="0" w:space="0" w:color="auto"/>
            <w:right w:val="none" w:sz="0" w:space="0" w:color="auto"/>
          </w:divBdr>
        </w:div>
        <w:div w:id="83649709">
          <w:marLeft w:val="0"/>
          <w:marRight w:val="0"/>
          <w:marTop w:val="0"/>
          <w:marBottom w:val="0"/>
          <w:divBdr>
            <w:top w:val="none" w:sz="0" w:space="0" w:color="auto"/>
            <w:left w:val="none" w:sz="0" w:space="0" w:color="auto"/>
            <w:bottom w:val="none" w:sz="0" w:space="0" w:color="auto"/>
            <w:right w:val="none" w:sz="0" w:space="0" w:color="auto"/>
          </w:divBdr>
        </w:div>
        <w:div w:id="1955476083">
          <w:marLeft w:val="0"/>
          <w:marRight w:val="0"/>
          <w:marTop w:val="0"/>
          <w:marBottom w:val="0"/>
          <w:divBdr>
            <w:top w:val="none" w:sz="0" w:space="0" w:color="auto"/>
            <w:left w:val="none" w:sz="0" w:space="0" w:color="auto"/>
            <w:bottom w:val="none" w:sz="0" w:space="0" w:color="auto"/>
            <w:right w:val="none" w:sz="0" w:space="0" w:color="auto"/>
          </w:divBdr>
        </w:div>
        <w:div w:id="19019390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2774</Words>
  <Characters>2196</Characters>
  <Application>Microsoft Office Word</Application>
  <DocSecurity>0</DocSecurity>
  <Lines>18</Lines>
  <Paragraphs>9</Paragraphs>
  <ScaleCrop>false</ScaleCrop>
  <Company>Chinese ORG</Company>
  <LinksUpToDate>false</LinksUpToDate>
  <CharactersWithSpaces>4961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cp:revision>
  <dcterms:created xsi:type="dcterms:W3CDTF">2017-11-01T09:14:00Z</dcterms:created>
  <dcterms:modified xsi:type="dcterms:W3CDTF">2017-11-02T10:38:00Z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