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附件一</w:t>
      </w:r>
      <w:r>
        <w:rPr>
          <w:rFonts w:hint="eastAsia"/>
        </w:rPr>
        <w:t xml:space="preserve">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 【</w:t>
      </w:r>
      <w:r>
        <w:rPr>
          <w:rFonts w:hint="eastAsia" w:ascii="楷体_GB2312" w:eastAsia="楷体_GB2312"/>
          <w:sz w:val="24"/>
          <w:szCs w:val="24"/>
        </w:rPr>
        <w:t xml:space="preserve">编号: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楷体_GB2312" w:eastAsia="楷体_GB2312"/>
          <w:sz w:val="24"/>
          <w:szCs w:val="24"/>
        </w:rPr>
        <w:t xml:space="preserve"> </w:t>
      </w:r>
      <w:r>
        <w:rPr>
          <w:rFonts w:hint="eastAsia"/>
        </w:rPr>
        <w:t>】</w:t>
      </w:r>
    </w:p>
    <w:p>
      <w:pPr>
        <w:ind w:firstLine="721" w:firstLineChars="200"/>
        <w:jc w:val="both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2018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年度广东省广播影视奖参评作品推荐表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701"/>
        <w:gridCol w:w="567"/>
        <w:gridCol w:w="1275"/>
        <w:gridCol w:w="4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创作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Cs w:val="21"/>
              </w:rPr>
              <w:t>梅州市广播电视台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作品(或栏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日)标题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美丽乡约——蕉岭三圳快乐大巴游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参评项目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广播新形态节目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创办时间(参评栏目的填写)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首播频道</w:t>
            </w:r>
          </w:p>
          <w:p>
            <w:pPr>
              <w:tabs>
                <w:tab w:val="left" w:pos="630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(发布平台)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FM105.8梅州交通广播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首播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栏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(作品网址)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耳朵去旅行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首播日期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作品长度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10分58秒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主创人员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于佳彤、王丹、朱思敏、赵杰、许明、李海梅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播音员、主持人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于佳彤、王丹、朱思敏、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赵杰、许明、李海梅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采编过程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党的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十九大报告提出，实施乡村振兴战略，意在更好解决农村发展不充分、城乡发展不平衡等重大问题。蕉岭县作为全国农村综合改革示范试点单位，率先成立全省首个县级农村产权交易中心，并全面完成省农村普惠金融试点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记者在采访中发现，在梅州众多乡村中，蕉岭县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三圳镇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极具代表性，这里的村民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因地制宜，</w:t>
            </w:r>
            <w:r>
              <w:rPr>
                <w:rStyle w:val="3"/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着力发展现代农业，走出了一条“农业+旅游”特色发展之路</w:t>
            </w:r>
            <w:r>
              <w:rPr>
                <w:rStyle w:val="3"/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Style w:val="3"/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从土地中解放出来的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村民们靠着土地流转、到基地务工、销售特色农产品走上致富路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，并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将广东首个“世界长寿乡”的金字招牌擦得更亮了。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Calibri" w:hAnsi="Calibri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节目通过大巴游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+现场直播+第二现场专家解说的全新节目形态，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为听众呈现了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eastAsia="zh-CN"/>
              </w:rPr>
              <w:t>蕉岭县三圳镇的美好风貌的同时，也为听众呈现了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梅州</w:t>
            </w:r>
            <w:r>
              <w:rPr>
                <w:rFonts w:ascii="Arial" w:hAnsi="Arial" w:cs="Arial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农村改革发展的巨大成就及梅州农民的幸福生活。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作品评介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《耳朵去旅行》是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FM105.8梅州交通广播的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一档旅游推介类的节目。节目内容以介绍国内外旅游景点为主，不定期举办线下的自驾游及大巴游，带领听众领略本地及周边城市的美好景色。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《美丽乡约——蕉岭三圳快乐大巴游》这期节目自策划以来，始终紧扣党的十九大报告提出的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实施乡村振兴战略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这一主题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，以乡村大巴游+传统广播+当下最流行的平台直播、短视频拍摄及第一现场和第二现场解说相结合等多种新型传播形式，既增强了作品的感染力，同时也增强了节目的可听性。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作品能够做到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以人民为中心，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坚持正确的政治方向、舆论导向。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以习近平新时代中国特色社会主义思想为指引，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真正做到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落实贴近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生活、贴近实际、贴近群众的“三个贴近”的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,取得了较好的社会效果。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社会效果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美丽乡约——蕉岭三圳快乐大巴游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》这部作品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就表现形式方面而言，听众在通过大巴游跟随主持人去活动现场、收听广播节目之外，也可以通过收看平台直播的方式来了解蕉岭县三圳镇的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长寿公园、五彩花堤、客家文化展示区、长寿食品采摘区、十里荷塘等景区。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现场的听众亲手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采摘富硒果蔬、畅游十里荷塘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，与第二现场的主持人和嘉宾进行互动，真正使现场及通过平台收看直播的听众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共同领略中国美丽乡村的魅力所在.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楷体_GB2312" w:eastAsia="楷体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节目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一经播出，便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受到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了社会各界的关注和好评。听众纷纷反映通过这部作品，充分了解到了梅州新农村翻天覆地的变化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的同时，也改变了对广播节目只能用耳朵听的呆板印象。作为广播与直播相结合的全新尝试，这部作品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在播出后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上引起广泛的关注,产生了良好的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社会效果。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主创人员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声明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经逐字逐帧、逐分逐秒自审，我的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</w:t>
            </w:r>
          </w:p>
          <w:p>
            <w:pPr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声明人（全体主创人员签名）</w:t>
            </w:r>
          </w:p>
          <w:p>
            <w:pPr>
              <w:ind w:firstLine="4725" w:firstLineChars="225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参评单位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声明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  经公示和审核，我单位的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同意报道参评。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声明人（法定代表人签名）            参评单位盖章：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推荐审核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ind w:firstLine="48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经初评、公示和审核，该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同意推荐参评。</w:t>
            </w:r>
          </w:p>
          <w:p>
            <w:pPr>
              <w:ind w:firstLine="48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推荐单位法定代表人签名：            推荐单位盖章：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参评单位联系人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 w:val="0"/>
                <w:sz w:val="21"/>
                <w:szCs w:val="21"/>
                <w:lang w:eastAsia="zh-CN"/>
              </w:rPr>
              <w:t>于佳彤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18125514321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推荐单位联系人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温建营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13802361126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75"/>
    <w:rsid w:val="00590115"/>
    <w:rsid w:val="005A1E53"/>
    <w:rsid w:val="006A1775"/>
    <w:rsid w:val="007815F9"/>
    <w:rsid w:val="00A63789"/>
    <w:rsid w:val="00CD1048"/>
    <w:rsid w:val="00CF28DF"/>
    <w:rsid w:val="181623CD"/>
    <w:rsid w:val="74D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F05694-8E27-4BDB-9B19-5FBD554569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756</Characters>
  <Lines>6</Lines>
  <Paragraphs>1</Paragraphs>
  <TotalTime>5</TotalTime>
  <ScaleCrop>false</ScaleCrop>
  <LinksUpToDate>false</LinksUpToDate>
  <CharactersWithSpaces>887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2019-02-01T04:43:00Z</dcterms:created>
  <dc:creator>微软用户</dc:creator>
  <cp:lastModifiedBy>l</cp:lastModifiedBy>
  <cp:lastPrinted>2019-02-01T09:22:32Z</cp:lastPrinted>
  <dcterms:modified xsi:type="dcterms:W3CDTF">2019-02-01T09:23:25Z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