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eastAsia"/>
          <w:lang w:val="en-US" w:eastAsia="zh-CN"/>
        </w:rPr>
      </w:pPr>
      <w:r>
        <w:rPr>
          <w:rFonts w:hint="eastAsia" w:ascii="黑体" w:hAnsi="黑体" w:eastAsia="黑体" w:cs="黑体"/>
          <w:bCs/>
          <w:sz w:val="32"/>
          <w:szCs w:val="32"/>
          <w:lang w:val="en-US" w:eastAsia="zh-CN"/>
        </w:rPr>
        <w:t>附件1</w:t>
      </w:r>
      <w:bookmarkStart w:id="0" w:name="_GoBack"/>
      <w:bookmarkEnd w:id="0"/>
    </w:p>
    <w:p>
      <w:pPr>
        <w:widowControl/>
        <w:spacing w:line="600" w:lineRule="exact"/>
        <w:ind w:firstLine="1320" w:firstLineChars="300"/>
        <w:jc w:val="both"/>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梅州市</w:t>
      </w:r>
      <w:r>
        <w:rPr>
          <w:rFonts w:hint="eastAsia" w:ascii="方正小标宋简体" w:hAnsi="方正小标宋简体" w:eastAsia="方正小标宋简体" w:cs="方正小标宋简体"/>
          <w:bCs/>
          <w:sz w:val="44"/>
          <w:szCs w:val="44"/>
        </w:rPr>
        <w:t>电动自行车头盔产品质量</w:t>
      </w:r>
    </w:p>
    <w:p>
      <w:pPr>
        <w:widowControl/>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监督抽查实施细则</w:t>
      </w:r>
    </w:p>
    <w:p>
      <w:pPr>
        <w:widowControl/>
        <w:spacing w:line="600" w:lineRule="exact"/>
        <w:jc w:val="center"/>
        <w:rPr>
          <w:rFonts w:hint="eastAsia" w:ascii="方正小标宋简体" w:hAnsi="方正小标宋简体" w:eastAsia="方正小标宋简体" w:cs="方正小标宋简体"/>
          <w:bCs/>
          <w:sz w:val="44"/>
          <w:szCs w:val="44"/>
        </w:rPr>
      </w:pPr>
    </w:p>
    <w:p>
      <w:pPr>
        <w:spacing w:line="600" w:lineRule="exact"/>
        <w:ind w:firstLine="616" w:firstLineChars="200"/>
        <w:rPr>
          <w:rFonts w:ascii="Times New Roman" w:hAnsi="Times New Roman" w:eastAsia="黑体" w:cs="黑体"/>
          <w:color w:val="000000"/>
          <w:spacing w:val="-6"/>
          <w:sz w:val="32"/>
          <w:szCs w:val="32"/>
        </w:rPr>
      </w:pPr>
      <w:r>
        <w:rPr>
          <w:rFonts w:hint="eastAsia" w:ascii="Times New Roman" w:hAnsi="Times New Roman" w:eastAsia="黑体" w:cs="黑体"/>
          <w:color w:val="000000"/>
          <w:spacing w:val="-6"/>
          <w:sz w:val="32"/>
          <w:szCs w:val="32"/>
        </w:rPr>
        <w:t>一、抽样方法</w:t>
      </w:r>
    </w:p>
    <w:p>
      <w:pPr>
        <w:widowControl/>
        <w:spacing w:line="600" w:lineRule="exact"/>
        <w:ind w:firstLine="616" w:firstLineChars="200"/>
        <w:rPr>
          <w:rFonts w:ascii="Times New Roman" w:hAnsi="Times New Roman" w:cs="Times New Roman"/>
          <w:color w:val="000000"/>
          <w:spacing w:val="-6"/>
          <w:sz w:val="32"/>
          <w:szCs w:val="32"/>
        </w:rPr>
      </w:pPr>
      <w:r>
        <w:rPr>
          <w:rFonts w:ascii="Times New Roman" w:hAnsi="Times New Roman" w:cs="Times New Roman"/>
          <w:color w:val="000000"/>
          <w:spacing w:val="-6"/>
          <w:kern w:val="0"/>
          <w:sz w:val="32"/>
          <w:szCs w:val="32"/>
        </w:rPr>
        <w:t>以随机抽样的方式在被</w:t>
      </w:r>
      <w:r>
        <w:rPr>
          <w:rFonts w:hint="eastAsia" w:ascii="Times New Roman" w:hAnsi="Times New Roman" w:cs="Times New Roman"/>
          <w:color w:val="000000"/>
          <w:spacing w:val="-6"/>
          <w:kern w:val="0"/>
          <w:sz w:val="32"/>
          <w:szCs w:val="32"/>
        </w:rPr>
        <w:t>抽查</w:t>
      </w:r>
      <w:r>
        <w:rPr>
          <w:rFonts w:hint="eastAsia" w:ascii="Times New Roman" w:hAnsi="Times New Roman" w:cs="Times New Roman"/>
          <w:color w:val="000000"/>
          <w:spacing w:val="-6"/>
          <w:kern w:val="0"/>
          <w:sz w:val="32"/>
          <w:szCs w:val="32"/>
          <w:lang w:eastAsia="zh-CN"/>
        </w:rPr>
        <w:t>经营主体</w:t>
      </w:r>
      <w:r>
        <w:rPr>
          <w:rFonts w:ascii="Times New Roman" w:hAnsi="Times New Roman" w:cs="Times New Roman"/>
          <w:color w:val="000000"/>
          <w:spacing w:val="-6"/>
          <w:kern w:val="0"/>
          <w:sz w:val="32"/>
          <w:szCs w:val="32"/>
        </w:rPr>
        <w:t>的待销产品中抽取。</w:t>
      </w:r>
    </w:p>
    <w:p>
      <w:pPr>
        <w:spacing w:line="600" w:lineRule="exact"/>
        <w:ind w:firstLine="616" w:firstLineChars="200"/>
        <w:rPr>
          <w:rFonts w:ascii="Times New Roman" w:hAnsi="Times New Roman" w:cs="仿宋_GB2312"/>
          <w:color w:val="000000"/>
          <w:spacing w:val="-6"/>
          <w:sz w:val="32"/>
          <w:szCs w:val="32"/>
        </w:rPr>
      </w:pPr>
      <w:r>
        <w:rPr>
          <w:rFonts w:hint="eastAsia" w:ascii="Times New Roman" w:hAnsi="Times New Roman" w:cs="仿宋_GB2312"/>
          <w:color w:val="000000"/>
          <w:spacing w:val="-6"/>
          <w:sz w:val="32"/>
          <w:szCs w:val="32"/>
        </w:rPr>
        <w:t>随机数一般可使用随机数表等方法产生。</w:t>
      </w:r>
    </w:p>
    <w:p>
      <w:pPr>
        <w:spacing w:line="600" w:lineRule="exact"/>
        <w:ind w:firstLine="616" w:firstLineChars="200"/>
        <w:rPr>
          <w:rFonts w:ascii="Times New Roman" w:hAnsi="Times New Roman" w:cs="仿宋_GB2312"/>
          <w:color w:val="000000"/>
          <w:spacing w:val="-6"/>
          <w:sz w:val="32"/>
          <w:szCs w:val="32"/>
        </w:rPr>
      </w:pPr>
      <w:r>
        <w:rPr>
          <w:rFonts w:hint="eastAsia" w:ascii="Times New Roman" w:hAnsi="Times New Roman" w:cs="仿宋_GB2312"/>
          <w:color w:val="000000"/>
          <w:spacing w:val="-6"/>
          <w:sz w:val="32"/>
          <w:szCs w:val="32"/>
        </w:rPr>
        <w:t>每款产品抽取2组样本，第1组用于检验，第2组用于备样。每组样本需抽取样品数量如下表所示：</w:t>
      </w:r>
    </w:p>
    <w:tbl>
      <w:tblPr>
        <w:tblStyle w:val="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39"/>
        <w:gridCol w:w="2497"/>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42" w:type="dxa"/>
            <w:noWrap/>
            <w:vAlign w:val="center"/>
          </w:tcPr>
          <w:p>
            <w:pPr>
              <w:adjustRightInd w:val="0"/>
              <w:snapToGrid w:val="0"/>
              <w:spacing w:line="240" w:lineRule="auto"/>
              <w:jc w:val="center"/>
              <w:rPr>
                <w:rFonts w:hint="default" w:ascii="Times New Roman" w:hAnsi="Times New Roman" w:eastAsia="黑体" w:cs="Times New Roman"/>
                <w:bCs/>
                <w:color w:val="000000"/>
                <w:spacing w:val="-6"/>
                <w:sz w:val="21"/>
                <w:szCs w:val="21"/>
              </w:rPr>
            </w:pPr>
            <w:r>
              <w:rPr>
                <w:rFonts w:hint="default" w:ascii="Times New Roman" w:hAnsi="Times New Roman" w:eastAsia="黑体" w:cs="Times New Roman"/>
                <w:bCs/>
                <w:color w:val="000000"/>
                <w:spacing w:val="-6"/>
                <w:sz w:val="21"/>
                <w:szCs w:val="21"/>
              </w:rPr>
              <w:t>序号</w:t>
            </w:r>
          </w:p>
        </w:tc>
        <w:tc>
          <w:tcPr>
            <w:tcW w:w="2839" w:type="dxa"/>
            <w:noWrap/>
            <w:vAlign w:val="center"/>
          </w:tcPr>
          <w:p>
            <w:pPr>
              <w:adjustRightInd w:val="0"/>
              <w:snapToGrid w:val="0"/>
              <w:spacing w:line="240" w:lineRule="auto"/>
              <w:jc w:val="center"/>
              <w:rPr>
                <w:rFonts w:hint="default" w:ascii="Times New Roman" w:hAnsi="Times New Roman" w:eastAsia="黑体" w:cs="Times New Roman"/>
                <w:bCs/>
                <w:color w:val="000000"/>
                <w:spacing w:val="-6"/>
                <w:sz w:val="21"/>
                <w:szCs w:val="21"/>
              </w:rPr>
            </w:pPr>
            <w:r>
              <w:rPr>
                <w:rFonts w:hint="default" w:ascii="Times New Roman" w:hAnsi="Times New Roman" w:eastAsia="黑体" w:cs="Times New Roman"/>
                <w:bCs/>
                <w:color w:val="000000"/>
                <w:spacing w:val="-6"/>
                <w:sz w:val="21"/>
                <w:szCs w:val="21"/>
              </w:rPr>
              <w:t>产品名称</w:t>
            </w:r>
          </w:p>
        </w:tc>
        <w:tc>
          <w:tcPr>
            <w:tcW w:w="2497" w:type="dxa"/>
            <w:noWrap/>
            <w:vAlign w:val="center"/>
          </w:tcPr>
          <w:p>
            <w:pPr>
              <w:adjustRightInd w:val="0"/>
              <w:snapToGrid w:val="0"/>
              <w:spacing w:line="240" w:lineRule="auto"/>
              <w:jc w:val="center"/>
              <w:rPr>
                <w:rFonts w:hint="default" w:ascii="Times New Roman" w:hAnsi="Times New Roman" w:eastAsia="黑体" w:cs="Times New Roman"/>
                <w:bCs/>
                <w:color w:val="000000"/>
                <w:spacing w:val="-6"/>
                <w:sz w:val="21"/>
                <w:szCs w:val="21"/>
              </w:rPr>
            </w:pPr>
            <w:r>
              <w:rPr>
                <w:rFonts w:hint="default" w:ascii="Times New Roman" w:hAnsi="Times New Roman" w:eastAsia="黑体" w:cs="Times New Roman"/>
                <w:bCs/>
                <w:color w:val="000000"/>
                <w:spacing w:val="-6"/>
                <w:sz w:val="21"/>
                <w:szCs w:val="21"/>
              </w:rPr>
              <w:t>第1组数量</w:t>
            </w:r>
          </w:p>
        </w:tc>
        <w:tc>
          <w:tcPr>
            <w:tcW w:w="2500" w:type="dxa"/>
            <w:noWrap/>
            <w:vAlign w:val="center"/>
          </w:tcPr>
          <w:p>
            <w:pPr>
              <w:adjustRightInd w:val="0"/>
              <w:snapToGrid w:val="0"/>
              <w:spacing w:line="240" w:lineRule="auto"/>
              <w:jc w:val="center"/>
              <w:rPr>
                <w:rFonts w:hint="default" w:ascii="Times New Roman" w:hAnsi="Times New Roman" w:eastAsia="黑体" w:cs="Times New Roman"/>
                <w:bCs/>
                <w:color w:val="000000"/>
                <w:spacing w:val="-6"/>
                <w:sz w:val="21"/>
                <w:szCs w:val="21"/>
              </w:rPr>
            </w:pPr>
            <w:r>
              <w:rPr>
                <w:rFonts w:hint="default" w:ascii="Times New Roman" w:hAnsi="Times New Roman" w:eastAsia="黑体" w:cs="Times New Roman"/>
                <w:bCs/>
                <w:color w:val="000000"/>
                <w:spacing w:val="-6"/>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42" w:type="dxa"/>
            <w:noWrap/>
            <w:vAlign w:val="center"/>
          </w:tcPr>
          <w:p>
            <w:pPr>
              <w:adjustRightInd w:val="0"/>
              <w:snapToGrid w:val="0"/>
              <w:spacing w:line="240" w:lineRule="auto"/>
              <w:jc w:val="center"/>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bCs/>
                <w:color w:val="000000"/>
                <w:spacing w:val="-6"/>
                <w:sz w:val="21"/>
                <w:szCs w:val="21"/>
              </w:rPr>
              <w:t>1</w:t>
            </w:r>
          </w:p>
        </w:tc>
        <w:tc>
          <w:tcPr>
            <w:tcW w:w="2839" w:type="dxa"/>
            <w:noWrap/>
            <w:vAlign w:val="center"/>
          </w:tcPr>
          <w:p>
            <w:pPr>
              <w:adjustRightInd w:val="0"/>
              <w:snapToGrid w:val="0"/>
              <w:spacing w:line="240" w:lineRule="auto"/>
              <w:jc w:val="center"/>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bCs/>
                <w:color w:val="000000"/>
                <w:spacing w:val="-6"/>
                <w:sz w:val="21"/>
                <w:szCs w:val="21"/>
              </w:rPr>
              <w:t>电动自行车头盔</w:t>
            </w:r>
          </w:p>
        </w:tc>
        <w:tc>
          <w:tcPr>
            <w:tcW w:w="2497" w:type="dxa"/>
            <w:noWrap/>
            <w:vAlign w:val="center"/>
          </w:tcPr>
          <w:p>
            <w:pPr>
              <w:adjustRightInd w:val="0"/>
              <w:snapToGrid w:val="0"/>
              <w:spacing w:line="240" w:lineRule="auto"/>
              <w:jc w:val="center"/>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bCs/>
                <w:color w:val="000000"/>
                <w:spacing w:val="-6"/>
                <w:sz w:val="21"/>
                <w:szCs w:val="21"/>
              </w:rPr>
              <w:t>3顶</w:t>
            </w:r>
          </w:p>
        </w:tc>
        <w:tc>
          <w:tcPr>
            <w:tcW w:w="2500" w:type="dxa"/>
            <w:noWrap/>
            <w:vAlign w:val="center"/>
          </w:tcPr>
          <w:p>
            <w:pPr>
              <w:adjustRightInd w:val="0"/>
              <w:snapToGrid w:val="0"/>
              <w:spacing w:line="240" w:lineRule="auto"/>
              <w:jc w:val="center"/>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bCs/>
                <w:color w:val="000000"/>
                <w:spacing w:val="-6"/>
                <w:sz w:val="21"/>
                <w:szCs w:val="21"/>
              </w:rPr>
              <w:t>3顶</w:t>
            </w:r>
          </w:p>
        </w:tc>
      </w:tr>
    </w:tbl>
    <w:p>
      <w:pPr>
        <w:adjustRightInd w:val="0"/>
        <w:snapToGrid w:val="0"/>
        <w:spacing w:line="560" w:lineRule="exact"/>
        <w:ind w:firstLine="616" w:firstLineChars="200"/>
        <w:rPr>
          <w:rFonts w:ascii="Times New Roman" w:hAnsi="Times New Roman" w:eastAsia="黑体" w:cs="黑体"/>
          <w:color w:val="000000"/>
          <w:spacing w:val="-6"/>
          <w:sz w:val="32"/>
          <w:szCs w:val="32"/>
        </w:rPr>
      </w:pPr>
      <w:r>
        <w:rPr>
          <w:rFonts w:hint="eastAsia" w:ascii="Times New Roman" w:hAnsi="Times New Roman" w:eastAsia="黑体" w:cs="黑体"/>
          <w:color w:val="000000"/>
          <w:spacing w:val="-6"/>
          <w:sz w:val="32"/>
          <w:szCs w:val="32"/>
        </w:rPr>
        <w:t>二、主要检验项目及检验项目属性划分</w:t>
      </w:r>
    </w:p>
    <w:tbl>
      <w:tblPr>
        <w:tblStyle w:val="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318"/>
        <w:gridCol w:w="1311"/>
        <w:gridCol w:w="878"/>
        <w:gridCol w:w="825"/>
        <w:gridCol w:w="900"/>
        <w:gridCol w:w="899"/>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序号</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检验项目</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检验方法</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强制性</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非强</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制性</w:t>
            </w: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重要项</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sz w:val="21"/>
                <w:szCs w:val="21"/>
              </w:rPr>
            </w:pPr>
            <w:r>
              <w:rPr>
                <w:rFonts w:hint="eastAsia" w:ascii="黑体" w:hAnsi="黑体" w:eastAsia="黑体" w:cs="黑体"/>
                <w:b w:val="0"/>
                <w:bCs w:val="0"/>
                <w:color w:val="000000"/>
                <w:spacing w:val="-6"/>
                <w:sz w:val="21"/>
                <w:szCs w:val="21"/>
              </w:rPr>
              <w:t>较重</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要项</w:t>
            </w: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val="0"/>
                <w:color w:val="000000"/>
                <w:spacing w:val="-6"/>
                <w:kern w:val="0"/>
                <w:sz w:val="21"/>
                <w:szCs w:val="21"/>
              </w:rPr>
            </w:pPr>
            <w:r>
              <w:rPr>
                <w:rFonts w:hint="eastAsia" w:ascii="黑体" w:hAnsi="黑体" w:eastAsia="黑体" w:cs="黑体"/>
                <w:b w:val="0"/>
                <w:bCs w:val="0"/>
                <w:color w:val="000000"/>
                <w:spacing w:val="-6"/>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Cs/>
                <w:color w:val="000000"/>
                <w:spacing w:val="-6"/>
                <w:kern w:val="0"/>
                <w:sz w:val="21"/>
                <w:szCs w:val="21"/>
              </w:rPr>
            </w:pPr>
            <w:r>
              <w:rPr>
                <w:rFonts w:hint="default" w:ascii="Times New Roman" w:hAnsi="Times New Roman" w:eastAsia="宋体" w:cs="Times New Roman"/>
                <w:bCs/>
                <w:color w:val="000000"/>
                <w:spacing w:val="-6"/>
                <w:kern w:val="0"/>
                <w:sz w:val="21"/>
                <w:szCs w:val="21"/>
              </w:rPr>
              <w:t>1</w:t>
            </w:r>
          </w:p>
        </w:tc>
        <w:tc>
          <w:tcPr>
            <w:tcW w:w="231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Cs/>
                <w:color w:val="000000"/>
                <w:spacing w:val="-6"/>
                <w:kern w:val="0"/>
                <w:sz w:val="21"/>
                <w:szCs w:val="21"/>
              </w:rPr>
            </w:pPr>
            <w:r>
              <w:rPr>
                <w:rFonts w:hint="default" w:ascii="Times New Roman" w:hAnsi="Times New Roman" w:eastAsia="宋体" w:cs="Times New Roman"/>
                <w:bCs/>
                <w:color w:val="000000"/>
                <w:spacing w:val="-6"/>
                <w:kern w:val="0"/>
                <w:sz w:val="21"/>
                <w:szCs w:val="21"/>
              </w:rPr>
              <w:t>规格、结构、保护区</w:t>
            </w:r>
          </w:p>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Cs/>
                <w:color w:val="000000"/>
                <w:spacing w:val="-6"/>
                <w:kern w:val="0"/>
                <w:sz w:val="21"/>
                <w:szCs w:val="21"/>
              </w:rPr>
            </w:pPr>
            <w:r>
              <w:rPr>
                <w:rFonts w:hint="default" w:ascii="Times New Roman" w:hAnsi="Times New Roman" w:eastAsia="宋体" w:cs="Times New Roman"/>
                <w:bCs/>
                <w:color w:val="000000"/>
                <w:spacing w:val="-6"/>
                <w:kern w:val="0"/>
                <w:sz w:val="21"/>
                <w:szCs w:val="21"/>
                <w:lang w:val="en-US" w:eastAsia="zh-CN"/>
              </w:rPr>
              <w:t>〔不含5.1.2.2 d）条款〕</w:t>
            </w:r>
          </w:p>
        </w:tc>
        <w:tc>
          <w:tcPr>
            <w:tcW w:w="1311"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2</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Cs/>
                <w:color w:val="000000"/>
                <w:spacing w:val="-6"/>
                <w:kern w:val="0"/>
                <w:sz w:val="21"/>
                <w:szCs w:val="21"/>
              </w:rPr>
            </w:pPr>
            <w:r>
              <w:rPr>
                <w:rFonts w:hint="default" w:ascii="Times New Roman" w:hAnsi="Times New Roman" w:eastAsia="宋体" w:cs="Times New Roman"/>
                <w:bCs/>
                <w:color w:val="000000"/>
                <w:spacing w:val="-6"/>
                <w:kern w:val="0"/>
                <w:sz w:val="21"/>
                <w:szCs w:val="21"/>
              </w:rPr>
              <w:t>视野</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3</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Cs/>
                <w:color w:val="000000"/>
                <w:spacing w:val="-6"/>
                <w:kern w:val="0"/>
                <w:sz w:val="21"/>
                <w:szCs w:val="21"/>
              </w:rPr>
            </w:pPr>
            <w:r>
              <w:rPr>
                <w:rFonts w:hint="default" w:ascii="Times New Roman" w:hAnsi="Times New Roman" w:eastAsia="宋体" w:cs="Times New Roman"/>
                <w:bCs/>
                <w:color w:val="000000"/>
                <w:spacing w:val="-6"/>
                <w:kern w:val="0"/>
                <w:sz w:val="21"/>
                <w:szCs w:val="21"/>
              </w:rPr>
              <w:t>护目镜可见光透过率</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4</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Cs/>
                <w:color w:val="000000"/>
                <w:spacing w:val="-6"/>
                <w:kern w:val="0"/>
                <w:sz w:val="21"/>
                <w:szCs w:val="21"/>
              </w:rPr>
            </w:pPr>
            <w:r>
              <w:rPr>
                <w:rFonts w:hint="default" w:ascii="Times New Roman" w:hAnsi="Times New Roman" w:eastAsia="宋体" w:cs="Times New Roman"/>
                <w:bCs/>
                <w:color w:val="000000"/>
                <w:spacing w:val="-6"/>
                <w:kern w:val="0"/>
                <w:sz w:val="21"/>
                <w:szCs w:val="21"/>
              </w:rPr>
              <w:t>护目镜耐磨性</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5</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表面凸起结构的剪切力</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6</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表面摩擦力</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7</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固定装置稳定性</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8</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佩戴装置强度</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9</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color w:val="000000"/>
                <w:spacing w:val="-6"/>
                <w:sz w:val="21"/>
                <w:szCs w:val="21"/>
              </w:rPr>
            </w:pPr>
            <w:r>
              <w:rPr>
                <w:rFonts w:hint="default" w:ascii="Times New Roman" w:hAnsi="Times New Roman" w:eastAsia="宋体" w:cs="Times New Roman"/>
                <w:color w:val="000000"/>
                <w:spacing w:val="-6"/>
                <w:sz w:val="21"/>
                <w:szCs w:val="21"/>
              </w:rPr>
              <w:t>吸收碰撞能量（低温）</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10</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color w:val="000000"/>
                <w:spacing w:val="-6"/>
                <w:sz w:val="21"/>
                <w:szCs w:val="21"/>
              </w:rPr>
            </w:pPr>
            <w:r>
              <w:rPr>
                <w:rFonts w:hint="default" w:ascii="Times New Roman" w:hAnsi="Times New Roman" w:eastAsia="宋体" w:cs="Times New Roman"/>
                <w:color w:val="000000"/>
                <w:spacing w:val="-6"/>
                <w:sz w:val="21"/>
                <w:szCs w:val="21"/>
              </w:rPr>
              <w:t>耐穿透（低温）</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6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80" w:leftChars="-25"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b/>
                <w:bCs/>
                <w:color w:val="000000"/>
                <w:spacing w:val="-6"/>
                <w:kern w:val="0"/>
                <w:sz w:val="21"/>
                <w:szCs w:val="21"/>
              </w:rPr>
              <w:t>11</w:t>
            </w:r>
          </w:p>
        </w:tc>
        <w:tc>
          <w:tcPr>
            <w:tcW w:w="23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color w:val="000000"/>
                <w:spacing w:val="-6"/>
                <w:sz w:val="21"/>
                <w:szCs w:val="21"/>
              </w:rPr>
            </w:pPr>
            <w:r>
              <w:rPr>
                <w:rFonts w:hint="default" w:ascii="Times New Roman" w:hAnsi="Times New Roman" w:eastAsia="宋体" w:cs="Times New Roman"/>
                <w:color w:val="000000"/>
                <w:spacing w:val="-6"/>
                <w:sz w:val="21"/>
                <w:szCs w:val="21"/>
              </w:rPr>
              <w:t>标志、标识</w:t>
            </w:r>
          </w:p>
        </w:tc>
        <w:tc>
          <w:tcPr>
            <w:tcW w:w="13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jc w:val="center"/>
              <w:textAlignment w:val="auto"/>
              <w:rPr>
                <w:rFonts w:hint="default" w:ascii="Times New Roman" w:hAnsi="Times New Roman" w:eastAsia="宋体" w:cs="Times New Roman"/>
                <w:b/>
                <w:bCs/>
                <w:color w:val="000000"/>
                <w:spacing w:val="-6"/>
                <w:sz w:val="21"/>
                <w:szCs w:val="21"/>
              </w:rPr>
            </w:pPr>
            <w:r>
              <w:rPr>
                <w:rFonts w:hint="default" w:ascii="Times New Roman" w:hAnsi="Times New Roman" w:eastAsia="宋体" w:cs="Times New Roman"/>
                <w:color w:val="000000"/>
                <w:spacing w:val="-6"/>
                <w:sz w:val="21"/>
                <w:szCs w:val="21"/>
              </w:rPr>
              <w:t>GB 811-2022</w:t>
            </w:r>
          </w:p>
        </w:tc>
        <w:tc>
          <w:tcPr>
            <w:tcW w:w="8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9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r>
              <w:rPr>
                <w:rFonts w:hint="default" w:ascii="Times New Roman" w:hAnsi="Times New Roman" w:eastAsia="宋体" w:cs="Times New Roman"/>
                <w:color w:val="000000"/>
                <w:spacing w:val="-6"/>
                <w:sz w:val="21"/>
                <w:szCs w:val="21"/>
              </w:rPr>
              <w:t>●</w:t>
            </w:r>
          </w:p>
        </w:tc>
        <w:tc>
          <w:tcPr>
            <w:tcW w:w="8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9" w:leftChars="-34" w:right="-106" w:rightChars="-33"/>
              <w:jc w:val="center"/>
              <w:textAlignment w:val="auto"/>
              <w:rPr>
                <w:rFonts w:hint="default" w:ascii="Times New Roman" w:hAnsi="Times New Roman" w:eastAsia="宋体" w:cs="Times New Roman"/>
                <w:b/>
                <w:bCs/>
                <w:color w:val="000000"/>
                <w:spacing w:val="-6"/>
                <w:kern w:val="0"/>
                <w:sz w:val="21"/>
                <w:szCs w:val="21"/>
              </w:rPr>
            </w:pPr>
          </w:p>
        </w:tc>
        <w:tc>
          <w:tcPr>
            <w:tcW w:w="84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jc w:val="center"/>
              <w:textAlignment w:val="auto"/>
              <w:rPr>
                <w:rFonts w:hint="default" w:ascii="Times New Roman" w:hAnsi="Times New Roman" w:eastAsia="宋体" w:cs="Times New Roman"/>
                <w:b/>
                <w:bCs/>
                <w:color w:val="000000"/>
                <w:spacing w:val="-6"/>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8622"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default" w:ascii="Times New Roman" w:hAnsi="Times New Roman" w:eastAsia="宋体" w:cs="Times New Roman"/>
                <w:color w:val="000000"/>
                <w:spacing w:val="-6"/>
                <w:sz w:val="21"/>
                <w:szCs w:val="21"/>
              </w:rPr>
            </w:pPr>
            <w:r>
              <w:rPr>
                <w:rFonts w:hint="default" w:ascii="Times New Roman" w:hAnsi="Times New Roman" w:eastAsia="宋体" w:cs="Times New Roman"/>
                <w:color w:val="000000"/>
                <w:spacing w:val="-6"/>
                <w:sz w:val="21"/>
                <w:szCs w:val="21"/>
              </w:rPr>
              <w:t>注：</w:t>
            </w:r>
          </w:p>
          <w:p>
            <w:pPr>
              <w:keepNext w:val="0"/>
              <w:keepLines w:val="0"/>
              <w:pageBreakBefore w:val="0"/>
              <w:widowControl w:val="0"/>
              <w:kinsoku/>
              <w:wordWrap/>
              <w:overflowPunct/>
              <w:topLinePunct w:val="0"/>
              <w:autoSpaceDE/>
              <w:autoSpaceDN/>
              <w:bidi w:val="0"/>
              <w:snapToGrid w:val="0"/>
              <w:spacing w:line="300" w:lineRule="exact"/>
              <w:ind w:firstLine="396" w:firstLineChars="200"/>
              <w:jc w:val="left"/>
              <w:textAlignment w:val="auto"/>
              <w:rPr>
                <w:rFonts w:hint="default" w:ascii="Times New Roman" w:hAnsi="Times New Roman" w:eastAsia="宋体" w:cs="Times New Roman"/>
                <w:color w:val="000000"/>
                <w:spacing w:val="-6"/>
                <w:sz w:val="21"/>
                <w:szCs w:val="21"/>
              </w:rPr>
            </w:pPr>
            <w:r>
              <w:rPr>
                <w:rFonts w:hint="default" w:ascii="Times New Roman" w:hAnsi="Times New Roman" w:eastAsia="宋体" w:cs="Times New Roman"/>
                <w:color w:val="000000"/>
                <w:spacing w:val="-6"/>
                <w:sz w:val="21"/>
                <w:szCs w:val="21"/>
              </w:rPr>
              <w:t>1.检验样品分配：1#样品进行</w:t>
            </w:r>
            <w:r>
              <w:rPr>
                <w:rFonts w:hint="default" w:ascii="Times New Roman" w:hAnsi="Times New Roman" w:eastAsia="宋体" w:cs="Times New Roman"/>
                <w:bCs/>
                <w:color w:val="000000"/>
                <w:spacing w:val="-6"/>
                <w:kern w:val="0"/>
                <w:sz w:val="21"/>
                <w:szCs w:val="21"/>
              </w:rPr>
              <w:t>规格、结构、保护区、视野、</w:t>
            </w:r>
            <w:r>
              <w:rPr>
                <w:rFonts w:hint="default" w:ascii="Times New Roman" w:hAnsi="Times New Roman" w:eastAsia="宋体" w:cs="Times New Roman"/>
                <w:color w:val="000000"/>
                <w:spacing w:val="-6"/>
                <w:sz w:val="21"/>
                <w:szCs w:val="21"/>
              </w:rPr>
              <w:t>固定装置稳定性、吸收碰撞能量（低温）、标志、标识的检测，2#样品进行</w:t>
            </w:r>
            <w:r>
              <w:rPr>
                <w:rFonts w:hint="default" w:ascii="Times New Roman" w:hAnsi="Times New Roman" w:eastAsia="宋体" w:cs="Times New Roman"/>
                <w:bCs/>
                <w:color w:val="000000"/>
                <w:spacing w:val="-6"/>
                <w:kern w:val="0"/>
                <w:sz w:val="21"/>
                <w:szCs w:val="21"/>
              </w:rPr>
              <w:t>护目镜可见光透过率、</w:t>
            </w:r>
            <w:r>
              <w:rPr>
                <w:rFonts w:hint="default" w:ascii="Times New Roman" w:hAnsi="Times New Roman" w:eastAsia="宋体" w:cs="Times New Roman"/>
                <w:color w:val="000000"/>
                <w:spacing w:val="-6"/>
                <w:sz w:val="21"/>
                <w:szCs w:val="21"/>
              </w:rPr>
              <w:t>表面凸起结构的剪切力、耐穿透（低温）的检测，3#样品进行</w:t>
            </w:r>
            <w:r>
              <w:rPr>
                <w:rFonts w:hint="default" w:ascii="Times New Roman" w:hAnsi="Times New Roman" w:eastAsia="宋体" w:cs="Times New Roman"/>
                <w:bCs/>
                <w:color w:val="000000"/>
                <w:spacing w:val="-6"/>
                <w:kern w:val="0"/>
                <w:sz w:val="21"/>
                <w:szCs w:val="21"/>
              </w:rPr>
              <w:t>护目镜耐磨性、</w:t>
            </w:r>
            <w:r>
              <w:rPr>
                <w:rFonts w:hint="default" w:ascii="Times New Roman" w:hAnsi="Times New Roman" w:eastAsia="宋体" w:cs="Times New Roman"/>
                <w:color w:val="000000"/>
                <w:spacing w:val="-6"/>
                <w:sz w:val="21"/>
                <w:szCs w:val="21"/>
              </w:rPr>
              <w:t>表面摩擦力、佩戴装置强度的检测。</w:t>
            </w:r>
          </w:p>
          <w:p>
            <w:pPr>
              <w:keepNext w:val="0"/>
              <w:keepLines w:val="0"/>
              <w:pageBreakBefore w:val="0"/>
              <w:widowControl w:val="0"/>
              <w:kinsoku/>
              <w:wordWrap/>
              <w:overflowPunct/>
              <w:topLinePunct w:val="0"/>
              <w:autoSpaceDE/>
              <w:autoSpaceDN/>
              <w:bidi w:val="0"/>
              <w:adjustRightInd w:val="0"/>
              <w:snapToGrid w:val="0"/>
              <w:spacing w:line="300" w:lineRule="exact"/>
              <w:ind w:left="-106" w:leftChars="-33" w:right="-106" w:rightChars="-33" w:firstLine="396" w:firstLineChars="200"/>
              <w:textAlignment w:val="auto"/>
              <w:rPr>
                <w:rFonts w:hint="default" w:ascii="Times New Roman" w:hAnsi="Times New Roman" w:eastAsia="宋体" w:cs="Times New Roman"/>
                <w:color w:val="FF0000"/>
                <w:spacing w:val="-6"/>
                <w:sz w:val="21"/>
                <w:szCs w:val="21"/>
              </w:rPr>
            </w:pPr>
            <w:r>
              <w:rPr>
                <w:rFonts w:hint="default" w:ascii="Times New Roman" w:hAnsi="Times New Roman" w:eastAsia="宋体" w:cs="Times New Roman"/>
                <w:color w:val="000000"/>
                <w:spacing w:val="-6"/>
                <w:sz w:val="21"/>
                <w:szCs w:val="21"/>
              </w:rPr>
              <w:t>2.按检验项目顺序进行检测。</w:t>
            </w:r>
          </w:p>
        </w:tc>
      </w:tr>
    </w:tbl>
    <w:p>
      <w:pPr>
        <w:keepNext w:val="0"/>
        <w:keepLines w:val="0"/>
        <w:pageBreakBefore w:val="0"/>
        <w:kinsoku/>
        <w:wordWrap/>
        <w:overflowPunct/>
        <w:topLinePunct w:val="0"/>
        <w:bidi w:val="0"/>
        <w:adjustRightInd w:val="0"/>
        <w:snapToGrid w:val="0"/>
        <w:spacing w:line="560" w:lineRule="exact"/>
        <w:ind w:firstLine="641"/>
        <w:textAlignment w:val="auto"/>
        <w:rPr>
          <w:rFonts w:ascii="Times New Roman" w:hAnsi="Times New Roman" w:cs="仿宋_GB2312"/>
          <w:color w:val="000000"/>
          <w:spacing w:val="-6"/>
          <w:sz w:val="32"/>
          <w:szCs w:val="32"/>
        </w:rPr>
      </w:pPr>
      <w:r>
        <w:rPr>
          <w:rFonts w:hint="eastAsia" w:ascii="Times New Roman" w:hAnsi="Times New Roman" w:eastAsia="黑体" w:cs="黑体"/>
          <w:color w:val="000000"/>
          <w:spacing w:val="-6"/>
          <w:sz w:val="32"/>
          <w:szCs w:val="32"/>
        </w:rPr>
        <w:t>三、判定规则</w:t>
      </w:r>
    </w:p>
    <w:p>
      <w:pPr>
        <w:keepNext w:val="0"/>
        <w:keepLines w:val="0"/>
        <w:pageBreakBefore w:val="0"/>
        <w:kinsoku/>
        <w:wordWrap/>
        <w:overflowPunct/>
        <w:topLinePunct w:val="0"/>
        <w:bidi w:val="0"/>
        <w:adjustRightInd w:val="0"/>
        <w:snapToGrid w:val="0"/>
        <w:spacing w:line="600" w:lineRule="exact"/>
        <w:ind w:firstLine="641"/>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rPr>
        <w:t>（一）依据标准</w:t>
      </w:r>
    </w:p>
    <w:p>
      <w:pPr>
        <w:keepNext w:val="0"/>
        <w:keepLines w:val="0"/>
        <w:pageBreakBefore w:val="0"/>
        <w:widowControl/>
        <w:kinsoku/>
        <w:wordWrap/>
        <w:overflowPunct/>
        <w:topLinePunct w:val="0"/>
        <w:autoSpaceDE w:val="0"/>
        <w:autoSpaceDN w:val="0"/>
        <w:bidi w:val="0"/>
        <w:spacing w:line="600" w:lineRule="exact"/>
        <w:ind w:firstLine="616" w:firstLineChars="200"/>
        <w:textAlignment w:val="auto"/>
        <w:rPr>
          <w:rFonts w:ascii="Times New Roman" w:hAnsi="Times New Roman" w:cs="Times New Roman"/>
          <w:color w:val="000000"/>
          <w:spacing w:val="-6"/>
          <w:sz w:val="32"/>
        </w:rPr>
      </w:pPr>
      <w:r>
        <w:rPr>
          <w:rFonts w:hint="eastAsia" w:ascii="Times New Roman" w:hAnsi="Times New Roman" w:cs="仿宋_GB2312"/>
          <w:color w:val="000000"/>
          <w:spacing w:val="-6"/>
          <w:sz w:val="32"/>
          <w:szCs w:val="32"/>
        </w:rPr>
        <w:t>GB 811-2022 《摩托车、电动自行车乘员头盔》</w:t>
      </w:r>
    </w:p>
    <w:p>
      <w:pPr>
        <w:keepNext w:val="0"/>
        <w:keepLines w:val="0"/>
        <w:pageBreakBefore w:val="0"/>
        <w:kinsoku/>
        <w:wordWrap/>
        <w:overflowPunct/>
        <w:topLinePunct w:val="0"/>
        <w:bidi w:val="0"/>
        <w:spacing w:line="600" w:lineRule="exact"/>
        <w:ind w:firstLine="616" w:firstLineChars="200"/>
        <w:textAlignment w:val="auto"/>
        <w:rPr>
          <w:rFonts w:ascii="Times New Roman" w:hAnsi="Times New Roman" w:cs="仿宋_GB2312"/>
          <w:color w:val="000000"/>
          <w:spacing w:val="-6"/>
          <w:sz w:val="32"/>
          <w:szCs w:val="32"/>
        </w:rPr>
      </w:pPr>
      <w:r>
        <w:rPr>
          <w:rFonts w:hint="eastAsia" w:ascii="Times New Roman" w:hAnsi="Times New Roman" w:cs="仿宋_GB2312"/>
          <w:color w:val="000000"/>
          <w:spacing w:val="-6"/>
          <w:sz w:val="32"/>
          <w:szCs w:val="32"/>
        </w:rPr>
        <w:t>现行有效的企业标准、团体标准、地方标准及产品明示质量要求。</w:t>
      </w:r>
    </w:p>
    <w:p>
      <w:pPr>
        <w:keepNext w:val="0"/>
        <w:keepLines w:val="0"/>
        <w:pageBreakBefore w:val="0"/>
        <w:kinsoku/>
        <w:wordWrap/>
        <w:overflowPunct/>
        <w:topLinePunct w:val="0"/>
        <w:bidi w:val="0"/>
        <w:adjustRightInd w:val="0"/>
        <w:snapToGrid w:val="0"/>
        <w:spacing w:line="600" w:lineRule="exact"/>
        <w:ind w:firstLine="641"/>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rPr>
        <w:t>（二）判定原则</w:t>
      </w:r>
    </w:p>
    <w:p>
      <w:pPr>
        <w:keepNext w:val="0"/>
        <w:keepLines w:val="0"/>
        <w:pageBreakBefore w:val="0"/>
        <w:kinsoku/>
        <w:wordWrap/>
        <w:overflowPunct/>
        <w:topLinePunct w:val="0"/>
        <w:bidi w:val="0"/>
        <w:snapToGrid w:val="0"/>
        <w:spacing w:line="600" w:lineRule="exact"/>
        <w:ind w:firstLine="641"/>
        <w:textAlignment w:val="auto"/>
        <w:rPr>
          <w:rFonts w:ascii="Times New Roman" w:hAnsi="Times New Roman" w:cs="仿宋_GB2312"/>
          <w:color w:val="000000"/>
          <w:spacing w:val="-6"/>
          <w:sz w:val="32"/>
          <w:szCs w:val="32"/>
        </w:rPr>
      </w:pPr>
      <w:r>
        <w:rPr>
          <w:rFonts w:hint="eastAsia" w:ascii="Times New Roman" w:hAnsi="Times New Roman" w:cs="仿宋_GB2312"/>
          <w:color w:val="000000"/>
          <w:spacing w:val="-6"/>
          <w:sz w:val="32"/>
          <w:szCs w:val="32"/>
        </w:rPr>
        <w:t>经检验，检验项目全部合格，判定为抽取的样本所检项目未检出不合格；检验项目中任一项或一项以上不合格，判定为被抽查产品不合格。</w:t>
      </w:r>
    </w:p>
    <w:p>
      <w:pPr>
        <w:keepNext w:val="0"/>
        <w:keepLines w:val="0"/>
        <w:pageBreakBefore w:val="0"/>
        <w:kinsoku/>
        <w:wordWrap/>
        <w:overflowPunct/>
        <w:topLinePunct w:val="0"/>
        <w:autoSpaceDE w:val="0"/>
        <w:autoSpaceDN w:val="0"/>
        <w:bidi w:val="0"/>
        <w:spacing w:line="600" w:lineRule="exact"/>
        <w:ind w:firstLine="616" w:firstLineChars="200"/>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当被检样品明示的质量要求优于监督抽查实施细则中依据的标准要求时，应按被检样品明示的质量要求判定；</w:t>
      </w:r>
    </w:p>
    <w:p>
      <w:pPr>
        <w:keepNext w:val="0"/>
        <w:keepLines w:val="0"/>
        <w:pageBreakBefore w:val="0"/>
        <w:kinsoku/>
        <w:wordWrap/>
        <w:overflowPunct/>
        <w:topLinePunct w:val="0"/>
        <w:autoSpaceDE w:val="0"/>
        <w:autoSpaceDN w:val="0"/>
        <w:bidi w:val="0"/>
        <w:spacing w:line="600" w:lineRule="exact"/>
        <w:ind w:firstLine="641"/>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当被检样品明示的质量要求劣于或不包含监督抽查实施细则中依据的强制性标准要求时，应按照强制性标准要求判定；</w:t>
      </w:r>
    </w:p>
    <w:p>
      <w:pPr>
        <w:keepNext w:val="0"/>
        <w:keepLines w:val="0"/>
        <w:pageBreakBefore w:val="0"/>
        <w:kinsoku/>
        <w:wordWrap/>
        <w:overflowPunct/>
        <w:topLinePunct w:val="0"/>
        <w:autoSpaceDE w:val="0"/>
        <w:autoSpaceDN w:val="0"/>
        <w:bidi w:val="0"/>
        <w:spacing w:line="600" w:lineRule="exact"/>
        <w:ind w:firstLine="641"/>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keepNext w:val="0"/>
        <w:keepLines w:val="0"/>
        <w:pageBreakBefore w:val="0"/>
        <w:kinsoku/>
        <w:wordWrap/>
        <w:overflowPunct/>
        <w:topLinePunct w:val="0"/>
        <w:autoSpaceDE w:val="0"/>
        <w:autoSpaceDN w:val="0"/>
        <w:bidi w:val="0"/>
        <w:spacing w:line="600" w:lineRule="exact"/>
        <w:ind w:firstLine="641"/>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当被检样品明示的质量要求不包含监督抽查实施细则中依据的推荐性标准要求时，该指标不参与判定，但应在检验报告中作出说明；</w:t>
      </w:r>
    </w:p>
    <w:p>
      <w:pPr>
        <w:keepNext w:val="0"/>
        <w:keepLines w:val="0"/>
        <w:pageBreakBefore w:val="0"/>
        <w:kinsoku/>
        <w:wordWrap/>
        <w:overflowPunct/>
        <w:topLinePunct w:val="0"/>
        <w:autoSpaceDE w:val="0"/>
        <w:autoSpaceDN w:val="0"/>
        <w:bidi w:val="0"/>
        <w:spacing w:line="600" w:lineRule="exact"/>
        <w:ind w:firstLine="641"/>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当被检样品未能提供有效的企业标准时，按相关国家或行业标准进行判定；</w:t>
      </w:r>
    </w:p>
    <w:p>
      <w:pPr>
        <w:keepNext w:val="0"/>
        <w:keepLines w:val="0"/>
        <w:pageBreakBefore w:val="0"/>
        <w:kinsoku/>
        <w:wordWrap/>
        <w:overflowPunct/>
        <w:topLinePunct w:val="0"/>
        <w:autoSpaceDE w:val="0"/>
        <w:autoSpaceDN w:val="0"/>
        <w:bidi w:val="0"/>
        <w:spacing w:line="600" w:lineRule="exact"/>
        <w:ind w:firstLine="641"/>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kinsoku/>
        <w:wordWrap/>
        <w:overflowPunct/>
        <w:topLinePunct w:val="0"/>
        <w:autoSpaceDE w:val="0"/>
        <w:autoSpaceDN w:val="0"/>
        <w:bidi w:val="0"/>
        <w:spacing w:line="600" w:lineRule="exact"/>
        <w:ind w:firstLine="641"/>
        <w:textAlignment w:val="auto"/>
        <w:rPr>
          <w:rFonts w:ascii="Times New Roman" w:hAnsi="Times New Roman" w:cs="仿宋_GB2312"/>
          <w:color w:val="000000"/>
          <w:spacing w:val="-6"/>
          <w:kern w:val="0"/>
          <w:sz w:val="32"/>
          <w:szCs w:val="32"/>
        </w:rPr>
      </w:pPr>
      <w:r>
        <w:rPr>
          <w:rFonts w:hint="eastAsia" w:ascii="Times New Roman" w:hAnsi="Times New Roman" w:cs="仿宋_GB2312"/>
          <w:color w:val="000000"/>
          <w:spacing w:val="-6"/>
          <w:kern w:val="0"/>
          <w:sz w:val="32"/>
          <w:szCs w:val="32"/>
        </w:rPr>
        <w:t>按照产品质量相关法律法规的规定判定。</w:t>
      </w:r>
    </w:p>
    <w:p>
      <w:pPr>
        <w:keepNext w:val="0"/>
        <w:keepLines w:val="0"/>
        <w:pageBreakBefore w:val="0"/>
        <w:kinsoku/>
        <w:wordWrap/>
        <w:overflowPunct/>
        <w:topLinePunct w:val="0"/>
        <w:bidi w:val="0"/>
        <w:spacing w:line="600" w:lineRule="exact"/>
        <w:ind w:firstLine="641"/>
        <w:textAlignment w:val="auto"/>
        <w:rPr>
          <w:rFonts w:ascii="Times New Roman" w:hAnsi="Times New Roman" w:cs="仿宋_GB2312"/>
          <w:color w:val="000000"/>
          <w:spacing w:val="-6"/>
          <w:sz w:val="32"/>
          <w:szCs w:val="32"/>
        </w:rPr>
      </w:pPr>
      <w:r>
        <w:rPr>
          <w:rFonts w:hint="eastAsia" w:ascii="Times New Roman" w:hAnsi="Times New Roman" w:cs="仿宋_GB2312"/>
          <w:color w:val="000000"/>
          <w:spacing w:val="-6"/>
          <w:sz w:val="32"/>
          <w:szCs w:val="32"/>
        </w:rPr>
        <w:t>检验中发现因样品失效或者其他原因致使检验无法进行的，检验人员应如实记录，并提供相关证明材料，报送组织监督抽查的市场监管部门。</w:t>
      </w:r>
    </w:p>
    <w:p>
      <w:pPr>
        <w:keepNext w:val="0"/>
        <w:keepLines w:val="0"/>
        <w:pageBreakBefore w:val="0"/>
        <w:kinsoku/>
        <w:wordWrap/>
        <w:overflowPunct/>
        <w:topLinePunct w:val="0"/>
        <w:bidi w:val="0"/>
        <w:spacing w:line="600"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bidi w:val="0"/>
        <w:spacing w:line="600"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bidi w:val="0"/>
        <w:spacing w:line="600"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bidi w:val="0"/>
        <w:spacing w:line="560" w:lineRule="exact"/>
        <w:textAlignment w:val="auto"/>
        <w:rPr>
          <w:rFonts w:hint="eastAsia" w:ascii="黑体" w:hAnsi="黑体" w:eastAsia="黑体" w:cs="黑体"/>
          <w:sz w:val="32"/>
          <w:szCs w:val="32"/>
          <w:lang w:eastAsia="zh-CN"/>
        </w:rPr>
      </w:pPr>
    </w:p>
    <w:p/>
    <w:p>
      <w:pPr>
        <w:pStyle w:val="6"/>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大黑简">
    <w:panose1 w:val="02010600000101010101"/>
    <w:charset w:val="86"/>
    <w:family w:val="auto"/>
    <w:pitch w:val="default"/>
    <w:sig w:usb0="00000001" w:usb1="080E0800" w:usb2="00000002" w:usb3="00000000" w:csb0="00040000" w:csb1="00000000"/>
  </w:font>
  <w:font w:name="汉仪旗黑-35简">
    <w:panose1 w:val="00020600040101010101"/>
    <w:charset w:val="86"/>
    <w:family w:val="auto"/>
    <w:pitch w:val="default"/>
    <w:sig w:usb0="A00002BF" w:usb1="1A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ZmY1ODNmNDMyYjQ5NWNmOTU3NTQzZTVjOTNkMjAifQ=="/>
  </w:docVars>
  <w:rsids>
    <w:rsidRoot w:val="004A7D02"/>
    <w:rsid w:val="000561EE"/>
    <w:rsid w:val="004A7D02"/>
    <w:rsid w:val="00C9542E"/>
    <w:rsid w:val="12CF4A9F"/>
    <w:rsid w:val="130E0397"/>
    <w:rsid w:val="39A810E0"/>
    <w:rsid w:val="4F045FF0"/>
    <w:rsid w:val="7B1E35D1"/>
    <w:rsid w:val="7CC321BF"/>
    <w:rsid w:val="DFAF5F0B"/>
    <w:rsid w:val="EECB4E8D"/>
    <w:rsid w:val="EFFD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link w:val="11"/>
    <w:semiHidden/>
    <w:unhideWhenUsed/>
    <w:qFormat/>
    <w:uiPriority w:val="9"/>
    <w:pPr>
      <w:keepNext/>
      <w:keepLines/>
      <w:spacing w:before="260" w:after="260" w:line="416" w:lineRule="auto"/>
      <w:outlineLvl w:val="2"/>
    </w:pPr>
    <w:rPr>
      <w:b/>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2"/>
    <w:basedOn w:val="1"/>
    <w:next w:val="1"/>
    <w:qFormat/>
    <w:uiPriority w:val="0"/>
    <w:pPr>
      <w:ind w:left="420" w:leftChars="20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3 Char"/>
    <w:basedOn w:val="8"/>
    <w:link w:val="3"/>
    <w:semiHidden/>
    <w:qFormat/>
    <w:uiPriority w:val="9"/>
    <w:rPr>
      <w:rFonts w:ascii="Times New Roman" w:hAnsi="Times New Roman" w:eastAsia="仿宋_GB2312"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1818</Words>
  <Characters>2793</Characters>
  <Lines>24</Lines>
  <Paragraphs>6</Paragraphs>
  <TotalTime>6</TotalTime>
  <ScaleCrop>false</ScaleCrop>
  <LinksUpToDate>false</LinksUpToDate>
  <CharactersWithSpaces>2919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2023-05-28T05:09:00Z</dcterms:created>
  <dc:creator>张美艳</dc:creator>
  <cp:lastModifiedBy>greatwall</cp:lastModifiedBy>
  <dcterms:modified xsi:type="dcterms:W3CDTF">2023-08-30T15:20:17Z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553E195846834BDD9F14F72380F6A9C4_13</vt:lpwstr>
  </property>
</Properties>
</file>