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11</w:t>
      </w:r>
    </w:p>
    <w:p>
      <w:pPr>
        <w:pStyle w:val="2"/>
        <w:rPr>
          <w:rFonts w:hint="default"/>
          <w:lang w:val="en-US" w:eastAsia="zh-CN"/>
        </w:rPr>
      </w:pPr>
    </w:p>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梅州市纤维增强树脂切割砂轮产品质量</w:t>
      </w:r>
    </w:p>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监督抽查实施细则</w:t>
      </w:r>
    </w:p>
    <w:p>
      <w:pPr>
        <w:widowControl/>
        <w:spacing w:line="600" w:lineRule="exact"/>
        <w:jc w:val="center"/>
        <w:rPr>
          <w:rFonts w:ascii="方正小标宋简体" w:hAnsi="方正小标宋简体" w:eastAsia="方正小标宋简体" w:cs="方正小标宋简体"/>
          <w:bCs/>
          <w:sz w:val="44"/>
          <w:szCs w:val="44"/>
        </w:rPr>
      </w:pPr>
    </w:p>
    <w:p>
      <w:pPr>
        <w:spacing w:line="600" w:lineRule="exact"/>
        <w:ind w:firstLine="616" w:firstLineChars="200"/>
        <w:rPr>
          <w:rFonts w:eastAsia="黑体" w:cs="黑体"/>
          <w:color w:val="000000"/>
          <w:spacing w:val="-6"/>
          <w:szCs w:val="32"/>
        </w:rPr>
      </w:pPr>
      <w:r>
        <w:rPr>
          <w:rFonts w:hint="eastAsia" w:eastAsia="黑体" w:cs="黑体"/>
          <w:color w:val="000000"/>
          <w:spacing w:val="-6"/>
          <w:szCs w:val="32"/>
        </w:rPr>
        <w:t>一、抽样方法</w:t>
      </w:r>
    </w:p>
    <w:p>
      <w:pPr>
        <w:widowControl/>
        <w:spacing w:line="600" w:lineRule="exact"/>
        <w:ind w:firstLine="616" w:firstLineChars="200"/>
        <w:rPr>
          <w:color w:val="000000"/>
          <w:spacing w:val="-6"/>
          <w:szCs w:val="32"/>
        </w:rPr>
      </w:pPr>
      <w:r>
        <w:rPr>
          <w:color w:val="000000"/>
          <w:spacing w:val="-6"/>
          <w:kern w:val="0"/>
          <w:szCs w:val="32"/>
        </w:rPr>
        <w:t>以随机抽样的方式在被</w:t>
      </w:r>
      <w:r>
        <w:rPr>
          <w:rFonts w:hint="eastAsia"/>
          <w:color w:val="000000"/>
          <w:spacing w:val="-6"/>
          <w:kern w:val="0"/>
          <w:szCs w:val="32"/>
        </w:rPr>
        <w:t>抽查经营主体</w:t>
      </w:r>
      <w:r>
        <w:rPr>
          <w:color w:val="000000"/>
          <w:spacing w:val="-6"/>
          <w:kern w:val="0"/>
          <w:szCs w:val="32"/>
        </w:rPr>
        <w:t>的待销产品中抽取。</w:t>
      </w:r>
    </w:p>
    <w:p>
      <w:pPr>
        <w:spacing w:line="600" w:lineRule="exact"/>
        <w:ind w:firstLine="616" w:firstLineChars="200"/>
        <w:rPr>
          <w:rFonts w:cs="仿宋_GB2312"/>
          <w:color w:val="000000"/>
          <w:spacing w:val="-6"/>
          <w:szCs w:val="32"/>
        </w:rPr>
      </w:pPr>
      <w:r>
        <w:rPr>
          <w:rFonts w:hint="eastAsia" w:cs="仿宋_GB2312"/>
          <w:color w:val="000000"/>
          <w:spacing w:val="-6"/>
          <w:szCs w:val="32"/>
        </w:rPr>
        <w:t>随机数一般可使用随机数表等方法产生。</w:t>
      </w:r>
    </w:p>
    <w:p>
      <w:pPr>
        <w:spacing w:line="600" w:lineRule="exact"/>
        <w:ind w:firstLine="616" w:firstLineChars="200"/>
        <w:rPr>
          <w:rFonts w:cs="仿宋_GB2312"/>
          <w:color w:val="000000"/>
          <w:spacing w:val="-6"/>
          <w:szCs w:val="32"/>
        </w:rPr>
      </w:pPr>
      <w:r>
        <w:rPr>
          <w:rFonts w:hint="eastAsia" w:cs="仿宋_GB2312"/>
          <w:color w:val="000000"/>
          <w:spacing w:val="-6"/>
          <w:szCs w:val="32"/>
        </w:rPr>
        <w:t>每款产品抽取2组样本，第1组用于检验，第2组用于备样。每组样本需抽取样品数量如下表所示：</w:t>
      </w:r>
    </w:p>
    <w:tbl>
      <w:tblPr>
        <w:tblStyle w:val="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39"/>
        <w:gridCol w:w="249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42" w:type="dxa"/>
            <w:noWrap/>
            <w:vAlign w:val="center"/>
          </w:tcPr>
          <w:p>
            <w:pPr>
              <w:adjustRightInd w:val="0"/>
              <w:snapToGrid w:val="0"/>
              <w:spacing w:line="400" w:lineRule="exact"/>
              <w:jc w:val="center"/>
              <w:rPr>
                <w:rFonts w:eastAsia="黑体"/>
                <w:bCs/>
                <w:color w:val="000000"/>
                <w:spacing w:val="-6"/>
                <w:sz w:val="21"/>
                <w:szCs w:val="21"/>
              </w:rPr>
            </w:pPr>
            <w:r>
              <w:rPr>
                <w:rFonts w:eastAsia="黑体"/>
                <w:bCs/>
                <w:color w:val="000000"/>
                <w:spacing w:val="-6"/>
                <w:sz w:val="21"/>
                <w:szCs w:val="21"/>
              </w:rPr>
              <w:t>序号</w:t>
            </w:r>
          </w:p>
        </w:tc>
        <w:tc>
          <w:tcPr>
            <w:tcW w:w="2839" w:type="dxa"/>
            <w:noWrap/>
            <w:vAlign w:val="center"/>
          </w:tcPr>
          <w:p>
            <w:pPr>
              <w:adjustRightInd w:val="0"/>
              <w:snapToGrid w:val="0"/>
              <w:spacing w:line="400" w:lineRule="exact"/>
              <w:jc w:val="center"/>
              <w:rPr>
                <w:rFonts w:eastAsia="黑体"/>
                <w:bCs/>
                <w:color w:val="000000"/>
                <w:spacing w:val="-6"/>
                <w:sz w:val="21"/>
                <w:szCs w:val="21"/>
              </w:rPr>
            </w:pPr>
            <w:r>
              <w:rPr>
                <w:rFonts w:eastAsia="黑体"/>
                <w:bCs/>
                <w:color w:val="000000"/>
                <w:spacing w:val="-6"/>
                <w:sz w:val="21"/>
                <w:szCs w:val="21"/>
              </w:rPr>
              <w:t>产品名称</w:t>
            </w:r>
          </w:p>
        </w:tc>
        <w:tc>
          <w:tcPr>
            <w:tcW w:w="2497" w:type="dxa"/>
            <w:noWrap/>
            <w:vAlign w:val="center"/>
          </w:tcPr>
          <w:p>
            <w:pPr>
              <w:adjustRightInd w:val="0"/>
              <w:snapToGrid w:val="0"/>
              <w:spacing w:line="400" w:lineRule="exact"/>
              <w:jc w:val="center"/>
              <w:rPr>
                <w:rFonts w:eastAsia="黑体"/>
                <w:bCs/>
                <w:color w:val="000000"/>
                <w:spacing w:val="-6"/>
                <w:sz w:val="21"/>
                <w:szCs w:val="21"/>
              </w:rPr>
            </w:pPr>
            <w:r>
              <w:rPr>
                <w:rFonts w:eastAsia="黑体"/>
                <w:bCs/>
                <w:color w:val="000000"/>
                <w:spacing w:val="-6"/>
                <w:sz w:val="21"/>
                <w:szCs w:val="21"/>
              </w:rPr>
              <w:t>第1组数量</w:t>
            </w:r>
          </w:p>
        </w:tc>
        <w:tc>
          <w:tcPr>
            <w:tcW w:w="2500" w:type="dxa"/>
            <w:noWrap/>
            <w:vAlign w:val="center"/>
          </w:tcPr>
          <w:p>
            <w:pPr>
              <w:adjustRightInd w:val="0"/>
              <w:snapToGrid w:val="0"/>
              <w:spacing w:line="400" w:lineRule="exact"/>
              <w:jc w:val="center"/>
              <w:rPr>
                <w:rFonts w:eastAsia="黑体"/>
                <w:bCs/>
                <w:color w:val="000000"/>
                <w:spacing w:val="-6"/>
                <w:sz w:val="21"/>
                <w:szCs w:val="21"/>
              </w:rPr>
            </w:pPr>
            <w:r>
              <w:rPr>
                <w:rFonts w:eastAsia="黑体"/>
                <w:bCs/>
                <w:color w:val="000000"/>
                <w:spacing w:val="-6"/>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42" w:type="dxa"/>
            <w:noWrap/>
            <w:vAlign w:val="center"/>
          </w:tcPr>
          <w:p>
            <w:pPr>
              <w:adjustRightInd w:val="0"/>
              <w:snapToGrid w:val="0"/>
              <w:spacing w:line="400" w:lineRule="exact"/>
              <w:jc w:val="center"/>
              <w:rPr>
                <w:rFonts w:eastAsia="宋体"/>
                <w:bCs/>
                <w:color w:val="000000"/>
                <w:spacing w:val="-6"/>
                <w:sz w:val="21"/>
                <w:szCs w:val="21"/>
              </w:rPr>
            </w:pPr>
            <w:r>
              <w:rPr>
                <w:rFonts w:eastAsia="宋体"/>
                <w:bCs/>
                <w:color w:val="000000"/>
                <w:spacing w:val="-6"/>
                <w:sz w:val="21"/>
                <w:szCs w:val="21"/>
              </w:rPr>
              <w:t>1</w:t>
            </w:r>
          </w:p>
        </w:tc>
        <w:tc>
          <w:tcPr>
            <w:tcW w:w="2839" w:type="dxa"/>
            <w:noWrap/>
            <w:vAlign w:val="center"/>
          </w:tcPr>
          <w:p>
            <w:pPr>
              <w:adjustRightInd w:val="0"/>
              <w:snapToGrid w:val="0"/>
              <w:spacing w:line="400" w:lineRule="exact"/>
              <w:jc w:val="center"/>
              <w:rPr>
                <w:rFonts w:eastAsia="宋体"/>
                <w:bCs/>
                <w:color w:val="000000"/>
                <w:spacing w:val="-6"/>
                <w:sz w:val="21"/>
                <w:szCs w:val="21"/>
              </w:rPr>
            </w:pPr>
            <w:r>
              <w:rPr>
                <w:rFonts w:hint="eastAsia" w:eastAsia="宋体"/>
                <w:bCs/>
                <w:color w:val="000000"/>
                <w:spacing w:val="-6"/>
                <w:sz w:val="21"/>
                <w:szCs w:val="21"/>
              </w:rPr>
              <w:t>纤维增强树脂切割砂轮</w:t>
            </w:r>
          </w:p>
        </w:tc>
        <w:tc>
          <w:tcPr>
            <w:tcW w:w="2497" w:type="dxa"/>
            <w:noWrap/>
            <w:vAlign w:val="center"/>
          </w:tcPr>
          <w:p>
            <w:pPr>
              <w:spacing w:line="400" w:lineRule="exact"/>
              <w:jc w:val="center"/>
              <w:rPr>
                <w:rFonts w:ascii="仿宋_GB2312"/>
                <w:sz w:val="24"/>
              </w:rPr>
            </w:pPr>
            <w:r>
              <w:rPr>
                <w:rFonts w:hint="eastAsia" w:ascii="仿宋_GB2312"/>
                <w:sz w:val="24"/>
              </w:rPr>
              <w:t>10片</w:t>
            </w:r>
          </w:p>
        </w:tc>
        <w:tc>
          <w:tcPr>
            <w:tcW w:w="2500" w:type="dxa"/>
            <w:noWrap/>
            <w:vAlign w:val="center"/>
          </w:tcPr>
          <w:p>
            <w:pPr>
              <w:spacing w:line="400" w:lineRule="exact"/>
              <w:jc w:val="center"/>
              <w:rPr>
                <w:rFonts w:ascii="仿宋_GB2312"/>
                <w:sz w:val="24"/>
              </w:rPr>
            </w:pPr>
            <w:r>
              <w:rPr>
                <w:rFonts w:hint="eastAsia" w:ascii="仿宋_GB2312"/>
                <w:sz w:val="24"/>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678" w:type="dxa"/>
            <w:gridSpan w:val="4"/>
            <w:noWrap/>
            <w:vAlign w:val="center"/>
          </w:tcPr>
          <w:p>
            <w:pPr>
              <w:adjustRightInd w:val="0"/>
              <w:snapToGrid w:val="0"/>
              <w:spacing w:line="400" w:lineRule="exact"/>
              <w:rPr>
                <w:rFonts w:eastAsia="宋体"/>
                <w:bCs/>
                <w:color w:val="000000"/>
                <w:spacing w:val="-6"/>
                <w:sz w:val="21"/>
                <w:szCs w:val="21"/>
              </w:rPr>
            </w:pPr>
            <w:r>
              <w:rPr>
                <w:rFonts w:hint="eastAsia" w:eastAsia="宋体"/>
                <w:bCs/>
                <w:color w:val="000000"/>
                <w:spacing w:val="-6"/>
                <w:sz w:val="21"/>
                <w:szCs w:val="21"/>
              </w:rPr>
              <w:t>注：孔径为D16A、D20A、D22A、D22.2A、D22.23A、D25A、D25.4A、D32A、D32B且直径≤400mm的砂轮在本次抽查范围。</w:t>
            </w:r>
          </w:p>
        </w:tc>
      </w:tr>
    </w:tbl>
    <w:p>
      <w:pPr>
        <w:adjustRightInd w:val="0"/>
        <w:snapToGrid w:val="0"/>
        <w:spacing w:line="560" w:lineRule="exact"/>
        <w:ind w:firstLine="616" w:firstLineChars="200"/>
        <w:rPr>
          <w:rFonts w:eastAsia="黑体" w:cs="黑体"/>
          <w:color w:val="000000"/>
          <w:spacing w:val="-6"/>
          <w:szCs w:val="32"/>
        </w:rPr>
      </w:pPr>
      <w:r>
        <w:rPr>
          <w:rFonts w:hint="eastAsia" w:eastAsia="黑体" w:cs="黑体"/>
          <w:color w:val="000000"/>
          <w:spacing w:val="-6"/>
          <w:szCs w:val="32"/>
        </w:rPr>
        <w:t>二、主要检验项目及检验项目属性划分</w:t>
      </w:r>
    </w:p>
    <w:tbl>
      <w:tblPr>
        <w:tblStyle w:val="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993"/>
        <w:gridCol w:w="1636"/>
        <w:gridCol w:w="878"/>
        <w:gridCol w:w="825"/>
        <w:gridCol w:w="900"/>
        <w:gridCol w:w="899"/>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序号</w:t>
            </w:r>
          </w:p>
        </w:tc>
        <w:tc>
          <w:tcPr>
            <w:tcW w:w="19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检验项目</w:t>
            </w:r>
          </w:p>
        </w:tc>
        <w:tc>
          <w:tcPr>
            <w:tcW w:w="16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检验方法</w:t>
            </w:r>
          </w:p>
        </w:tc>
        <w:tc>
          <w:tcPr>
            <w:tcW w:w="8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强制性</w:t>
            </w:r>
          </w:p>
        </w:tc>
        <w:tc>
          <w:tcPr>
            <w:tcW w:w="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sz w:val="21"/>
                <w:szCs w:val="21"/>
              </w:rPr>
            </w:pPr>
            <w:r>
              <w:rPr>
                <w:rFonts w:hint="eastAsia" w:ascii="黑体" w:hAnsi="黑体" w:eastAsia="黑体" w:cs="黑体"/>
                <w:color w:val="000000"/>
                <w:spacing w:val="-6"/>
                <w:sz w:val="21"/>
                <w:szCs w:val="21"/>
              </w:rPr>
              <w:t>非强</w:t>
            </w:r>
          </w:p>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制性</w:t>
            </w:r>
          </w:p>
        </w:tc>
        <w:tc>
          <w:tcPr>
            <w:tcW w:w="9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重要项</w:t>
            </w:r>
          </w:p>
        </w:tc>
        <w:tc>
          <w:tcPr>
            <w:tcW w:w="8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sz w:val="21"/>
                <w:szCs w:val="21"/>
              </w:rPr>
            </w:pPr>
            <w:r>
              <w:rPr>
                <w:rFonts w:hint="eastAsia" w:ascii="黑体" w:hAnsi="黑体" w:eastAsia="黑体" w:cs="黑体"/>
                <w:color w:val="000000"/>
                <w:spacing w:val="-6"/>
                <w:sz w:val="21"/>
                <w:szCs w:val="21"/>
              </w:rPr>
              <w:t>较重</w:t>
            </w:r>
          </w:p>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要项</w:t>
            </w:r>
          </w:p>
        </w:tc>
        <w:tc>
          <w:tcPr>
            <w:tcW w:w="8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黑体" w:hAnsi="黑体" w:eastAsia="黑体" w:cs="黑体"/>
                <w:color w:val="000000"/>
                <w:spacing w:val="-6"/>
                <w:kern w:val="0"/>
                <w:sz w:val="21"/>
                <w:szCs w:val="21"/>
              </w:rPr>
            </w:pPr>
            <w:r>
              <w:rPr>
                <w:rFonts w:hint="eastAsia" w:ascii="黑体" w:hAnsi="黑体" w:eastAsia="黑体" w:cs="黑体"/>
                <w:color w:val="000000"/>
                <w:spacing w:val="-6"/>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eastAsia="宋体"/>
                <w:bCs/>
                <w:color w:val="000000"/>
                <w:spacing w:val="-6"/>
                <w:kern w:val="0"/>
                <w:sz w:val="21"/>
                <w:szCs w:val="21"/>
              </w:rPr>
            </w:pPr>
            <w:r>
              <w:rPr>
                <w:rFonts w:eastAsia="宋体"/>
                <w:bCs/>
                <w:color w:val="000000"/>
                <w:spacing w:val="-6"/>
                <w:kern w:val="0"/>
                <w:sz w:val="21"/>
                <w:szCs w:val="21"/>
              </w:rPr>
              <w:t>1</w:t>
            </w:r>
          </w:p>
        </w:tc>
        <w:tc>
          <w:tcPr>
            <w:tcW w:w="19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宋体"/>
                <w:bCs/>
                <w:color w:val="000000"/>
                <w:spacing w:val="-6"/>
                <w:kern w:val="0"/>
                <w:sz w:val="21"/>
                <w:szCs w:val="21"/>
              </w:rPr>
            </w:pPr>
            <w:r>
              <w:rPr>
                <w:rFonts w:eastAsia="宋体"/>
                <w:bCs/>
                <w:color w:val="000000"/>
                <w:spacing w:val="-6"/>
                <w:kern w:val="0"/>
                <w:sz w:val="21"/>
                <w:szCs w:val="21"/>
              </w:rPr>
              <w:t>孔径</w:t>
            </w:r>
          </w:p>
        </w:tc>
        <w:tc>
          <w:tcPr>
            <w:tcW w:w="163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宋体"/>
                <w:bCs/>
                <w:color w:val="000000"/>
                <w:spacing w:val="-6"/>
                <w:kern w:val="0"/>
                <w:sz w:val="21"/>
                <w:szCs w:val="21"/>
              </w:rPr>
            </w:pPr>
            <w:r>
              <w:rPr>
                <w:rFonts w:eastAsia="宋体"/>
                <w:bCs/>
                <w:color w:val="000000"/>
                <w:spacing w:val="-6"/>
                <w:kern w:val="0"/>
                <w:sz w:val="21"/>
                <w:szCs w:val="21"/>
              </w:rPr>
              <w:t>JB/T 7992-2017</w:t>
            </w:r>
          </w:p>
        </w:tc>
        <w:tc>
          <w:tcPr>
            <w:tcW w:w="8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9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p>
        </w:tc>
        <w:tc>
          <w:tcPr>
            <w:tcW w:w="8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8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eastAsia="宋体"/>
                <w:bCs/>
                <w:color w:val="000000"/>
                <w:spacing w:val="-6"/>
                <w:kern w:val="0"/>
                <w:sz w:val="21"/>
                <w:szCs w:val="21"/>
              </w:rPr>
            </w:pPr>
            <w:r>
              <w:rPr>
                <w:rFonts w:hint="eastAsia" w:eastAsia="宋体"/>
                <w:bCs/>
                <w:color w:val="000000"/>
                <w:spacing w:val="-6"/>
                <w:kern w:val="0"/>
                <w:sz w:val="21"/>
                <w:szCs w:val="21"/>
              </w:rPr>
              <w:t>2</w:t>
            </w:r>
          </w:p>
        </w:tc>
        <w:tc>
          <w:tcPr>
            <w:tcW w:w="1993" w:type="dxa"/>
            <w:tcBorders>
              <w:top w:val="single" w:color="auto" w:sz="4" w:space="0"/>
              <w:left w:val="single" w:color="auto" w:sz="4" w:space="0"/>
              <w:bottom w:val="single" w:color="auto" w:sz="4" w:space="0"/>
              <w:right w:val="single" w:color="auto" w:sz="4" w:space="0"/>
            </w:tcBorders>
            <w:noWrap/>
            <w:vAlign w:val="center"/>
          </w:tcPr>
          <w:p>
            <w:pPr>
              <w:tabs>
                <w:tab w:val="left" w:pos="2520"/>
              </w:tabs>
              <w:adjustRightInd w:val="0"/>
              <w:snapToGrid w:val="0"/>
              <w:spacing w:line="360" w:lineRule="exact"/>
              <w:ind w:left="-163" w:leftChars="-51"/>
              <w:jc w:val="center"/>
              <w:rPr>
                <w:rFonts w:eastAsia="宋体"/>
                <w:bCs/>
                <w:color w:val="000000"/>
                <w:spacing w:val="-6"/>
                <w:kern w:val="0"/>
                <w:sz w:val="21"/>
                <w:szCs w:val="21"/>
              </w:rPr>
            </w:pPr>
            <w:r>
              <w:rPr>
                <w:rFonts w:eastAsia="宋体"/>
                <w:bCs/>
                <w:color w:val="000000"/>
                <w:spacing w:val="-6"/>
                <w:kern w:val="0"/>
                <w:sz w:val="21"/>
                <w:szCs w:val="21"/>
              </w:rPr>
              <w:t>不平衡量</w:t>
            </w:r>
          </w:p>
        </w:tc>
        <w:tc>
          <w:tcPr>
            <w:tcW w:w="16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eastAsia="宋体"/>
                <w:bCs/>
                <w:color w:val="000000"/>
                <w:spacing w:val="-6"/>
                <w:kern w:val="0"/>
                <w:sz w:val="21"/>
                <w:szCs w:val="21"/>
              </w:rPr>
            </w:pPr>
            <w:r>
              <w:rPr>
                <w:rFonts w:eastAsia="宋体"/>
                <w:bCs/>
                <w:color w:val="000000"/>
                <w:spacing w:val="-6"/>
                <w:kern w:val="0"/>
                <w:sz w:val="21"/>
                <w:szCs w:val="21"/>
              </w:rPr>
              <w:t>GB/T 2492-2017</w:t>
            </w:r>
          </w:p>
        </w:tc>
        <w:tc>
          <w:tcPr>
            <w:tcW w:w="8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9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p>
        </w:tc>
        <w:tc>
          <w:tcPr>
            <w:tcW w:w="8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8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eastAsia="宋体"/>
                <w:bCs/>
                <w:color w:val="000000"/>
                <w:spacing w:val="-6"/>
                <w:kern w:val="0"/>
                <w:sz w:val="21"/>
                <w:szCs w:val="21"/>
              </w:rPr>
            </w:pPr>
            <w:r>
              <w:rPr>
                <w:rFonts w:hint="eastAsia" w:eastAsia="宋体"/>
                <w:bCs/>
                <w:color w:val="000000"/>
                <w:spacing w:val="-6"/>
                <w:kern w:val="0"/>
                <w:sz w:val="21"/>
                <w:szCs w:val="21"/>
              </w:rPr>
              <w:t>3</w:t>
            </w:r>
          </w:p>
        </w:tc>
        <w:tc>
          <w:tcPr>
            <w:tcW w:w="1993" w:type="dxa"/>
            <w:tcBorders>
              <w:top w:val="single" w:color="auto" w:sz="4" w:space="0"/>
              <w:left w:val="single" w:color="auto" w:sz="4" w:space="0"/>
              <w:bottom w:val="single" w:color="auto" w:sz="4" w:space="0"/>
              <w:right w:val="single" w:color="auto" w:sz="4" w:space="0"/>
            </w:tcBorders>
            <w:noWrap/>
            <w:vAlign w:val="center"/>
          </w:tcPr>
          <w:p>
            <w:pPr>
              <w:tabs>
                <w:tab w:val="left" w:pos="2520"/>
              </w:tabs>
              <w:adjustRightInd w:val="0"/>
              <w:snapToGrid w:val="0"/>
              <w:spacing w:line="360" w:lineRule="exact"/>
              <w:ind w:left="-163" w:leftChars="-51"/>
              <w:jc w:val="center"/>
              <w:rPr>
                <w:rFonts w:eastAsia="宋体"/>
                <w:bCs/>
                <w:color w:val="000000"/>
                <w:spacing w:val="-6"/>
                <w:kern w:val="0"/>
                <w:sz w:val="21"/>
                <w:szCs w:val="21"/>
              </w:rPr>
            </w:pPr>
            <w:r>
              <w:rPr>
                <w:rFonts w:hint="eastAsia" w:eastAsia="宋体"/>
                <w:bCs/>
                <w:color w:val="000000"/>
                <w:spacing w:val="-6"/>
                <w:kern w:val="0"/>
                <w:sz w:val="21"/>
                <w:szCs w:val="21"/>
              </w:rPr>
              <w:t>安全速度试验</w:t>
            </w:r>
          </w:p>
        </w:tc>
        <w:tc>
          <w:tcPr>
            <w:tcW w:w="16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eastAsia="宋体"/>
                <w:bCs/>
                <w:color w:val="000000"/>
                <w:spacing w:val="-6"/>
                <w:kern w:val="0"/>
                <w:sz w:val="21"/>
                <w:szCs w:val="21"/>
              </w:rPr>
            </w:pPr>
            <w:r>
              <w:rPr>
                <w:rFonts w:eastAsia="宋体"/>
                <w:bCs/>
                <w:color w:val="000000"/>
                <w:spacing w:val="-6"/>
                <w:kern w:val="0"/>
                <w:sz w:val="21"/>
                <w:szCs w:val="21"/>
              </w:rPr>
              <w:t>GB/T 2493-2013</w:t>
            </w:r>
          </w:p>
        </w:tc>
        <w:tc>
          <w:tcPr>
            <w:tcW w:w="8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eastAsia="宋体"/>
                <w:bCs/>
                <w:color w:val="000000"/>
                <w:spacing w:val="-6"/>
                <w:kern w:val="0"/>
                <w:sz w:val="21"/>
                <w:szCs w:val="21"/>
              </w:rPr>
            </w:pPr>
            <w:r>
              <w:rPr>
                <w:rFonts w:hint="eastAsia" w:eastAsia="宋体"/>
                <w:bCs/>
                <w:color w:val="000000"/>
                <w:spacing w:val="-6"/>
                <w:kern w:val="0"/>
                <w:sz w:val="21"/>
                <w:szCs w:val="21"/>
              </w:rPr>
              <w:t>4</w:t>
            </w:r>
          </w:p>
        </w:tc>
        <w:tc>
          <w:tcPr>
            <w:tcW w:w="1993" w:type="dxa"/>
            <w:tcBorders>
              <w:top w:val="single" w:color="auto" w:sz="4" w:space="0"/>
              <w:left w:val="single" w:color="auto" w:sz="4" w:space="0"/>
              <w:bottom w:val="single" w:color="auto" w:sz="4" w:space="0"/>
              <w:right w:val="single" w:color="auto" w:sz="4" w:space="0"/>
            </w:tcBorders>
            <w:noWrap/>
            <w:vAlign w:val="center"/>
          </w:tcPr>
          <w:p>
            <w:pPr>
              <w:tabs>
                <w:tab w:val="left" w:pos="2520"/>
              </w:tabs>
              <w:adjustRightInd w:val="0"/>
              <w:snapToGrid w:val="0"/>
              <w:spacing w:line="360" w:lineRule="exact"/>
              <w:ind w:left="-163" w:leftChars="-51"/>
              <w:jc w:val="center"/>
              <w:rPr>
                <w:rFonts w:eastAsia="宋体"/>
                <w:bCs/>
                <w:color w:val="000000"/>
                <w:spacing w:val="-6"/>
                <w:kern w:val="0"/>
                <w:sz w:val="21"/>
                <w:szCs w:val="21"/>
              </w:rPr>
            </w:pPr>
            <w:r>
              <w:rPr>
                <w:rFonts w:hint="eastAsia" w:eastAsia="宋体"/>
                <w:bCs/>
                <w:color w:val="000000"/>
                <w:spacing w:val="-6"/>
                <w:kern w:val="0"/>
                <w:sz w:val="21"/>
                <w:szCs w:val="21"/>
              </w:rPr>
              <w:t>破裂速度试验</w:t>
            </w:r>
          </w:p>
        </w:tc>
        <w:tc>
          <w:tcPr>
            <w:tcW w:w="16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eastAsia="宋体"/>
                <w:bCs/>
                <w:color w:val="000000"/>
                <w:spacing w:val="-6"/>
                <w:kern w:val="0"/>
                <w:sz w:val="21"/>
                <w:szCs w:val="21"/>
              </w:rPr>
            </w:pPr>
            <w:r>
              <w:rPr>
                <w:rFonts w:eastAsia="宋体"/>
                <w:bCs/>
                <w:color w:val="000000"/>
                <w:spacing w:val="-6"/>
                <w:kern w:val="0"/>
                <w:sz w:val="21"/>
                <w:szCs w:val="21"/>
              </w:rPr>
              <w:t>GB/T 2493-2013</w:t>
            </w:r>
          </w:p>
        </w:tc>
        <w:tc>
          <w:tcPr>
            <w:tcW w:w="8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left="-109" w:leftChars="-34" w:right="-106" w:rightChars="-33"/>
              <w:jc w:val="center"/>
              <w:rPr>
                <w:rFonts w:eastAsia="宋体"/>
                <w:b/>
                <w:bCs/>
                <w:color w:val="000000"/>
                <w:spacing w:val="-6"/>
                <w:kern w:val="0"/>
                <w:sz w:val="21"/>
                <w:szCs w:val="21"/>
              </w:rPr>
            </w:pPr>
            <w:r>
              <w:rPr>
                <w:rFonts w:eastAsia="宋体"/>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sz w:val="24"/>
              </w:rPr>
            </w:pPr>
          </w:p>
        </w:tc>
      </w:tr>
    </w:tbl>
    <w:p>
      <w:pPr>
        <w:adjustRightInd w:val="0"/>
        <w:snapToGrid w:val="0"/>
        <w:spacing w:line="560" w:lineRule="exact"/>
        <w:ind w:firstLine="641"/>
        <w:rPr>
          <w:rFonts w:cs="仿宋_GB2312"/>
          <w:color w:val="000000"/>
          <w:spacing w:val="-6"/>
          <w:szCs w:val="32"/>
        </w:rPr>
      </w:pPr>
      <w:r>
        <w:rPr>
          <w:rFonts w:hint="eastAsia" w:eastAsia="黑体" w:cs="黑体"/>
          <w:color w:val="000000"/>
          <w:spacing w:val="-6"/>
          <w:szCs w:val="32"/>
        </w:rPr>
        <w:t>三、判定规则</w:t>
      </w:r>
    </w:p>
    <w:p>
      <w:pPr>
        <w:adjustRightInd w:val="0"/>
        <w:snapToGrid w:val="0"/>
        <w:spacing w:line="600" w:lineRule="exact"/>
        <w:ind w:firstLine="641"/>
        <w:rPr>
          <w:rFonts w:ascii="楷体_GB2312" w:hAnsi="楷体_GB2312" w:eastAsia="楷体_GB2312" w:cs="楷体_GB2312"/>
          <w:color w:val="000000"/>
          <w:spacing w:val="-6"/>
          <w:szCs w:val="32"/>
        </w:rPr>
      </w:pPr>
      <w:r>
        <w:rPr>
          <w:rFonts w:hint="eastAsia" w:ascii="楷体_GB2312" w:hAnsi="楷体_GB2312" w:eastAsia="楷体_GB2312" w:cs="楷体_GB2312"/>
          <w:color w:val="000000"/>
          <w:spacing w:val="-6"/>
          <w:szCs w:val="32"/>
        </w:rPr>
        <w:t>（一）依据标准</w:t>
      </w:r>
    </w:p>
    <w:p>
      <w:pPr>
        <w:widowControl/>
        <w:adjustRightInd w:val="0"/>
        <w:snapToGrid w:val="0"/>
        <w:spacing w:line="560" w:lineRule="exact"/>
        <w:ind w:firstLine="641"/>
        <w:rPr>
          <w:rFonts w:hint="eastAsia" w:cs="仿宋_GB2312"/>
          <w:color w:val="000000"/>
          <w:spacing w:val="-6"/>
          <w:szCs w:val="32"/>
        </w:rPr>
      </w:pPr>
      <w:r>
        <w:rPr>
          <w:rFonts w:hint="eastAsia" w:cs="仿宋_GB2312"/>
          <w:color w:val="000000"/>
          <w:spacing w:val="-6"/>
          <w:szCs w:val="32"/>
        </w:rPr>
        <w:t>GB 2494-2014 《固结磨具 安全要求》</w:t>
      </w:r>
    </w:p>
    <w:p>
      <w:pPr>
        <w:widowControl/>
        <w:adjustRightInd w:val="0"/>
        <w:snapToGrid w:val="0"/>
        <w:spacing w:line="560" w:lineRule="exact"/>
        <w:ind w:firstLine="641"/>
        <w:rPr>
          <w:rFonts w:cs="仿宋_GB2312"/>
          <w:color w:val="000000"/>
          <w:spacing w:val="-6"/>
          <w:szCs w:val="32"/>
        </w:rPr>
      </w:pPr>
      <w:r>
        <w:rPr>
          <w:rFonts w:hint="eastAsia" w:cs="仿宋_GB2312"/>
          <w:color w:val="000000"/>
          <w:spacing w:val="-6"/>
          <w:szCs w:val="32"/>
        </w:rPr>
        <w:t>JB/T 4175-2016 《固结磨具 纤维增强树脂切割砂轮》</w:t>
      </w:r>
    </w:p>
    <w:p>
      <w:pPr>
        <w:spacing w:line="600" w:lineRule="exact"/>
        <w:ind w:firstLine="616" w:firstLineChars="200"/>
        <w:rPr>
          <w:rFonts w:cs="仿宋_GB2312"/>
          <w:color w:val="000000"/>
          <w:spacing w:val="-6"/>
          <w:szCs w:val="32"/>
        </w:rPr>
      </w:pPr>
      <w:r>
        <w:rPr>
          <w:rFonts w:hint="eastAsia" w:cs="仿宋_GB2312"/>
          <w:color w:val="000000"/>
          <w:spacing w:val="-6"/>
          <w:szCs w:val="32"/>
        </w:rPr>
        <w:t>现行有效的企业标准、团体标准、地方标准及产品明示质量要求。</w:t>
      </w:r>
    </w:p>
    <w:p>
      <w:pPr>
        <w:adjustRightInd w:val="0"/>
        <w:snapToGrid w:val="0"/>
        <w:spacing w:line="600" w:lineRule="exact"/>
        <w:ind w:firstLine="641"/>
        <w:rPr>
          <w:rFonts w:ascii="楷体_GB2312" w:hAnsi="楷体_GB2312" w:eastAsia="楷体_GB2312" w:cs="楷体_GB2312"/>
          <w:color w:val="000000"/>
          <w:spacing w:val="-6"/>
          <w:szCs w:val="32"/>
        </w:rPr>
      </w:pPr>
      <w:r>
        <w:rPr>
          <w:rFonts w:hint="eastAsia" w:ascii="楷体_GB2312" w:hAnsi="楷体_GB2312" w:eastAsia="楷体_GB2312" w:cs="楷体_GB2312"/>
          <w:color w:val="000000"/>
          <w:spacing w:val="-6"/>
          <w:szCs w:val="32"/>
        </w:rPr>
        <w:t>（二）判定原则</w:t>
      </w:r>
    </w:p>
    <w:p>
      <w:pPr>
        <w:snapToGrid w:val="0"/>
        <w:spacing w:line="600" w:lineRule="exact"/>
        <w:ind w:firstLine="641"/>
        <w:rPr>
          <w:rFonts w:cs="仿宋_GB2312"/>
          <w:color w:val="000000"/>
          <w:spacing w:val="-6"/>
          <w:szCs w:val="32"/>
        </w:rPr>
      </w:pPr>
      <w:r>
        <w:rPr>
          <w:rFonts w:hint="eastAsia" w:cs="仿宋_GB2312"/>
          <w:color w:val="000000"/>
          <w:spacing w:val="-6"/>
          <w:szCs w:val="32"/>
        </w:rPr>
        <w:t>经检验，检验项目全部合格，判定为抽取的样本所检项目未检出不合格；检验项目中任一项或一项以上不合格，判定为被抽查产品不合格。</w:t>
      </w:r>
    </w:p>
    <w:p>
      <w:pPr>
        <w:autoSpaceDE w:val="0"/>
        <w:autoSpaceDN w:val="0"/>
        <w:spacing w:line="600" w:lineRule="exact"/>
        <w:ind w:firstLine="616" w:firstLineChars="200"/>
        <w:rPr>
          <w:rFonts w:cs="仿宋_GB2312"/>
          <w:color w:val="000000"/>
          <w:spacing w:val="-6"/>
          <w:kern w:val="0"/>
          <w:szCs w:val="32"/>
        </w:rPr>
      </w:pPr>
      <w:r>
        <w:rPr>
          <w:rFonts w:hint="eastAsia" w:cs="仿宋_GB2312"/>
          <w:color w:val="000000"/>
          <w:spacing w:val="-6"/>
          <w:kern w:val="0"/>
          <w:szCs w:val="32"/>
        </w:rPr>
        <w:t>当被检样品明示的质量要求优于监督抽查实施细则中依据的标准要求时，应按被检样品明示的质量要求判定；</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当被检样品明示的质量要求劣于或不包含监督抽查实施细则中依据的强制性标准要求时，应按照强制性标准要求判定；</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当被检样品明示的质量要求不包含监督抽查实施细则中依据的推荐性标准要求时，该指标不参与判定，但应在检验报告中作出说明；</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当被检样品未能提供有效的企业标准时，按相关国家或行业标准进行判定；</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utoSpaceDE w:val="0"/>
        <w:autoSpaceDN w:val="0"/>
        <w:spacing w:line="600" w:lineRule="exact"/>
        <w:ind w:firstLine="641"/>
        <w:rPr>
          <w:rFonts w:cs="仿宋_GB2312"/>
          <w:color w:val="000000"/>
          <w:spacing w:val="-6"/>
          <w:kern w:val="0"/>
          <w:szCs w:val="32"/>
        </w:rPr>
      </w:pPr>
      <w:r>
        <w:rPr>
          <w:rFonts w:hint="eastAsia" w:cs="仿宋_GB2312"/>
          <w:color w:val="000000"/>
          <w:spacing w:val="-6"/>
          <w:kern w:val="0"/>
          <w:szCs w:val="32"/>
        </w:rPr>
        <w:t>按照产品质量相关法律法规的规定判定。</w:t>
      </w:r>
    </w:p>
    <w:p>
      <w:pPr>
        <w:spacing w:line="600" w:lineRule="exact"/>
        <w:ind w:firstLine="641"/>
      </w:pPr>
      <w:r>
        <w:rPr>
          <w:rFonts w:hint="eastAsia" w:cs="仿宋_GB2312"/>
          <w:color w:val="000000"/>
          <w:spacing w:val="-6"/>
          <w:szCs w:val="32"/>
        </w:rPr>
        <w:t>检验中发现因样品失效或者其他原因致使检验无法进行的，检验人员应如实记录，并提供相关证明材料，报送组织监督抽查的市场监管部门。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1ZmY1ODNmNDMyYjQ5NWNmOTU3NTQzZTVjOTNkMjAifQ=="/>
  </w:docVars>
  <w:rsids>
    <w:rsidRoot w:val="004A7D02"/>
    <w:rsid w:val="00017201"/>
    <w:rsid w:val="000561EE"/>
    <w:rsid w:val="000A1904"/>
    <w:rsid w:val="001A5546"/>
    <w:rsid w:val="00253BFC"/>
    <w:rsid w:val="0028008E"/>
    <w:rsid w:val="002A2BB9"/>
    <w:rsid w:val="004A7D02"/>
    <w:rsid w:val="005C32C9"/>
    <w:rsid w:val="00635465"/>
    <w:rsid w:val="00656B4F"/>
    <w:rsid w:val="007A4919"/>
    <w:rsid w:val="007B1BC5"/>
    <w:rsid w:val="00C9542E"/>
    <w:rsid w:val="00CC3959"/>
    <w:rsid w:val="00D62234"/>
    <w:rsid w:val="00E37727"/>
    <w:rsid w:val="00E93481"/>
    <w:rsid w:val="00F32872"/>
    <w:rsid w:val="130E0397"/>
    <w:rsid w:val="1D5F49E1"/>
    <w:rsid w:val="39A810E0"/>
    <w:rsid w:val="4F045FF0"/>
    <w:rsid w:val="7B1E35D1"/>
    <w:rsid w:val="7CC321BF"/>
    <w:rsid w:val="E7BD37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link w:val="10"/>
    <w:semiHidden/>
    <w:unhideWhenUsed/>
    <w:qFormat/>
    <w:uiPriority w:val="9"/>
    <w:pPr>
      <w:keepNext/>
      <w:keepLines/>
      <w:spacing w:before="260" w:after="260" w:line="416" w:lineRule="auto"/>
      <w:outlineLvl w:val="2"/>
    </w:pPr>
    <w:rPr>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3 Char"/>
    <w:basedOn w:val="7"/>
    <w:link w:val="3"/>
    <w:semiHidden/>
    <w:qFormat/>
    <w:uiPriority w:val="9"/>
    <w:rPr>
      <w:rFonts w:ascii="Times New Roman"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157</Words>
  <Characters>897</Characters>
  <Lines>7</Lines>
  <Paragraphs>2</Paragraphs>
  <TotalTime>8</TotalTime>
  <ScaleCrop>false</ScaleCrop>
  <LinksUpToDate>false</LinksUpToDate>
  <CharactersWithSpaces>1052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2023-08-17T00:37:00Z</dcterms:created>
  <dc:creator>张美艳</dc:creator>
  <cp:lastModifiedBy>greatwall</cp:lastModifiedBy>
  <dcterms:modified xsi:type="dcterms:W3CDTF">2023-08-30T16:02:33Z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553E195846834BDD9F14F72380F6A9C4_13</vt:lpwstr>
  </property>
</Properties>
</file>