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auto"/>
        <w:kinsoku/>
        <w:wordWrap/>
        <w:overflowPunct/>
        <w:bidi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bCs/>
          <w:color w:val="000000"/>
          <w:spacing w:val="-6"/>
          <w:sz w:val="32"/>
          <w:szCs w:val="32"/>
          <w:highlight w:val="none"/>
          <w:lang w:eastAsia="zh-CN"/>
        </w:rPr>
        <w:t>附件</w:t>
      </w:r>
      <w:r>
        <w:rPr>
          <w:rFonts w:hint="eastAsia" w:ascii="黑体" w:hAnsi="黑体" w:eastAsia="黑体" w:cs="黑体"/>
          <w:bCs/>
          <w:color w:val="000000"/>
          <w:spacing w:val="-6"/>
          <w:sz w:val="32"/>
          <w:szCs w:val="32"/>
          <w:highlight w:val="none"/>
          <w:lang w:val="en-US" w:eastAsia="zh-CN"/>
        </w:rPr>
        <w:t>13</w:t>
      </w:r>
    </w:p>
    <w:p>
      <w:pPr>
        <w:pageBreakBefore w:val="0"/>
        <w:widowControl/>
        <w:shd w:val="clear" w:color="auto" w:fill="auto"/>
        <w:kinsoku/>
        <w:wordWrap/>
        <w:overflowPunct/>
        <w:bidi w:val="0"/>
        <w:spacing w:line="600" w:lineRule="exact"/>
        <w:jc w:val="center"/>
        <w:textAlignment w:val="auto"/>
        <w:rPr>
          <w:rFonts w:ascii="Times New Roman" w:hAnsi="Times New Roman" w:eastAsia="方正小标宋简体" w:cs="Times New Roman"/>
          <w:bCs/>
          <w:color w:val="000000"/>
          <w:spacing w:val="-6"/>
          <w:sz w:val="44"/>
          <w:szCs w:val="44"/>
          <w:highlight w:val="none"/>
        </w:rPr>
      </w:pPr>
      <w:r>
        <w:rPr>
          <w:rFonts w:hint="eastAsia" w:ascii="Times New Roman" w:hAnsi="Times New Roman" w:eastAsia="方正小标宋简体" w:cs="Times New Roman"/>
          <w:bCs/>
          <w:color w:val="000000"/>
          <w:spacing w:val="-6"/>
          <w:sz w:val="44"/>
          <w:szCs w:val="44"/>
          <w:highlight w:val="none"/>
          <w:lang w:eastAsia="zh-CN"/>
        </w:rPr>
        <w:t>梅州市</w:t>
      </w:r>
      <w:r>
        <w:rPr>
          <w:rFonts w:ascii="Times New Roman" w:hAnsi="Times New Roman" w:eastAsia="方正小标宋简体" w:cs="Times New Roman"/>
          <w:bCs/>
          <w:color w:val="000000"/>
          <w:spacing w:val="-6"/>
          <w:sz w:val="44"/>
          <w:szCs w:val="44"/>
          <w:highlight w:val="none"/>
        </w:rPr>
        <w:t>老视成镜产品质量</w:t>
      </w:r>
    </w:p>
    <w:p>
      <w:pPr>
        <w:pageBreakBefore w:val="0"/>
        <w:widowControl/>
        <w:shd w:val="clear" w:color="auto" w:fill="auto"/>
        <w:kinsoku/>
        <w:wordWrap/>
        <w:overflowPunct/>
        <w:bidi w:val="0"/>
        <w:spacing w:line="600" w:lineRule="exact"/>
        <w:jc w:val="center"/>
        <w:textAlignment w:val="auto"/>
        <w:rPr>
          <w:rFonts w:ascii="Times New Roman" w:hAnsi="Times New Roman" w:eastAsia="方正小标宋简体" w:cs="Times New Roman"/>
          <w:bCs/>
          <w:color w:val="000000"/>
          <w:spacing w:val="-6"/>
          <w:sz w:val="44"/>
          <w:szCs w:val="44"/>
          <w:highlight w:val="none"/>
        </w:rPr>
      </w:pPr>
      <w:r>
        <w:rPr>
          <w:rFonts w:ascii="Times New Roman" w:hAnsi="Times New Roman" w:eastAsia="方正小标宋简体" w:cs="Times New Roman"/>
          <w:bCs/>
          <w:color w:val="000000"/>
          <w:spacing w:val="-6"/>
          <w:sz w:val="44"/>
          <w:szCs w:val="44"/>
          <w:highlight w:val="none"/>
        </w:rPr>
        <w:t>监督抽查实施细则</w:t>
      </w:r>
    </w:p>
    <w:p>
      <w:pPr>
        <w:keepNext w:val="0"/>
        <w:keepLines w:val="0"/>
        <w:pageBreakBefore w:val="0"/>
        <w:shd w:val="clear" w:color="auto" w:fill="auto"/>
        <w:kinsoku/>
        <w:wordWrap/>
        <w:overflowPunct/>
        <w:topLinePunct w:val="0"/>
        <w:autoSpaceDE/>
        <w:autoSpaceDN/>
        <w:bidi w:val="0"/>
        <w:spacing w:line="560" w:lineRule="exact"/>
        <w:ind w:firstLine="856" w:firstLineChars="200"/>
        <w:textAlignment w:val="auto"/>
        <w:rPr>
          <w:rFonts w:ascii="Times New Roman" w:hAnsi="Times New Roman" w:eastAsia="方正小标宋简体" w:cs="Times New Roman"/>
          <w:color w:val="000000"/>
          <w:spacing w:val="-6"/>
          <w:sz w:val="44"/>
          <w:szCs w:val="44"/>
          <w:highlight w:val="none"/>
        </w:rPr>
      </w:pPr>
    </w:p>
    <w:p>
      <w:pPr>
        <w:keepNext w:val="0"/>
        <w:keepLines w:val="0"/>
        <w:pageBreakBefore w:val="0"/>
        <w:shd w:val="clear" w:color="auto" w:fill="auto"/>
        <w:kinsoku/>
        <w:wordWrap/>
        <w:overflowPunct/>
        <w:topLinePunct w:val="0"/>
        <w:autoSpaceDE/>
        <w:autoSpaceDN/>
        <w:bidi w:val="0"/>
        <w:spacing w:line="560" w:lineRule="exact"/>
        <w:ind w:firstLine="616" w:firstLineChars="200"/>
        <w:textAlignment w:val="auto"/>
        <w:rPr>
          <w:rFonts w:ascii="Times New Roman" w:hAnsi="Times New Roman" w:eastAsia="黑体" w:cs="Times New Roman"/>
          <w:color w:val="000000"/>
          <w:spacing w:val="-6"/>
          <w:sz w:val="32"/>
          <w:szCs w:val="32"/>
          <w:highlight w:val="none"/>
        </w:rPr>
      </w:pPr>
      <w:r>
        <w:rPr>
          <w:rFonts w:ascii="Times New Roman" w:hAnsi="Times New Roman" w:eastAsia="黑体" w:cs="Times New Roman"/>
          <w:color w:val="000000"/>
          <w:spacing w:val="-6"/>
          <w:sz w:val="32"/>
          <w:szCs w:val="32"/>
          <w:highlight w:val="none"/>
        </w:rPr>
        <w:t>一、抽样方法</w:t>
      </w:r>
    </w:p>
    <w:p>
      <w:pPr>
        <w:keepNext w:val="0"/>
        <w:keepLines w:val="0"/>
        <w:pageBreakBefore w:val="0"/>
        <w:widowControl/>
        <w:shd w:val="clear" w:color="auto" w:fill="auto"/>
        <w:kinsoku/>
        <w:wordWrap/>
        <w:overflowPunct/>
        <w:topLinePunct w:val="0"/>
        <w:autoSpaceDE/>
        <w:autoSpaceDN/>
        <w:bidi w:val="0"/>
        <w:spacing w:line="560" w:lineRule="exact"/>
        <w:ind w:firstLine="616" w:firstLineChars="200"/>
        <w:textAlignment w:val="auto"/>
        <w:rPr>
          <w:rFonts w:ascii="Times New Roman" w:hAnsi="Times New Roman" w:cs="Times New Roman"/>
          <w:color w:val="000000"/>
          <w:spacing w:val="-6"/>
          <w:sz w:val="32"/>
          <w:szCs w:val="32"/>
          <w:highlight w:val="none"/>
        </w:rPr>
      </w:pPr>
      <w:r>
        <w:rPr>
          <w:rFonts w:ascii="Times New Roman" w:hAnsi="Times New Roman" w:cs="Times New Roman"/>
          <w:color w:val="000000"/>
          <w:spacing w:val="-6"/>
          <w:kern w:val="0"/>
          <w:sz w:val="32"/>
          <w:szCs w:val="32"/>
          <w:highlight w:val="none"/>
        </w:rPr>
        <w:t>以随机抽样的方式在被抽查市场主体的待销产品中抽取。</w:t>
      </w:r>
    </w:p>
    <w:p>
      <w:pPr>
        <w:keepNext w:val="0"/>
        <w:keepLines w:val="0"/>
        <w:pageBreakBefore w:val="0"/>
        <w:widowControl/>
        <w:shd w:val="clear" w:color="auto" w:fill="auto"/>
        <w:kinsoku/>
        <w:wordWrap/>
        <w:overflowPunct/>
        <w:topLinePunct w:val="0"/>
        <w:autoSpaceDE/>
        <w:autoSpaceDN/>
        <w:bidi w:val="0"/>
        <w:spacing w:line="560" w:lineRule="exact"/>
        <w:ind w:firstLine="616" w:firstLineChars="200"/>
        <w:textAlignment w:val="auto"/>
        <w:rPr>
          <w:rFonts w:ascii="Times New Roman" w:hAnsi="Times New Roman" w:cs="Times New Roman"/>
          <w:color w:val="000000"/>
          <w:spacing w:val="-6"/>
          <w:sz w:val="32"/>
          <w:szCs w:val="32"/>
          <w:highlight w:val="none"/>
        </w:rPr>
      </w:pPr>
      <w:r>
        <w:rPr>
          <w:rFonts w:ascii="Times New Roman" w:hAnsi="Times New Roman" w:cs="Times New Roman"/>
          <w:color w:val="000000"/>
          <w:spacing w:val="-6"/>
          <w:kern w:val="0"/>
          <w:sz w:val="32"/>
          <w:szCs w:val="32"/>
          <w:highlight w:val="none"/>
        </w:rPr>
        <w:t>随机数一般可使用随机数表等方法产生。</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textAlignment w:val="auto"/>
        <w:rPr>
          <w:rFonts w:ascii="Times New Roman" w:hAnsi="Times New Roman" w:cs="Times New Roman"/>
          <w:color w:val="000000"/>
          <w:spacing w:val="-6"/>
          <w:sz w:val="32"/>
          <w:szCs w:val="32"/>
          <w:highlight w:val="none"/>
        </w:rPr>
      </w:pPr>
      <w:r>
        <w:rPr>
          <w:rFonts w:ascii="Times New Roman" w:hAnsi="Times New Roman" w:cs="Times New Roman"/>
          <w:color w:val="000000"/>
          <w:spacing w:val="-6"/>
          <w:sz w:val="32"/>
          <w:szCs w:val="32"/>
          <w:highlight w:val="none"/>
        </w:rPr>
        <w:t>每款产品抽取1组样本（无备样）。具体抽样数量和方法如下：</w:t>
      </w:r>
    </w:p>
    <w:tbl>
      <w:tblPr>
        <w:tblStyle w:val="6"/>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16"/>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val="0"/>
                <w:bCs/>
                <w:color w:val="000000"/>
                <w:spacing w:val="-6"/>
                <w:sz w:val="24"/>
                <w:highlight w:val="none"/>
              </w:rPr>
            </w:pPr>
            <w:r>
              <w:rPr>
                <w:rFonts w:hint="eastAsia" w:ascii="Times New Roman" w:hAnsi="Times New Roman" w:eastAsia="黑体" w:cs="黑体"/>
                <w:b w:val="0"/>
                <w:bCs/>
                <w:color w:val="000000"/>
                <w:spacing w:val="-6"/>
                <w:sz w:val="24"/>
                <w:highlight w:val="none"/>
              </w:rPr>
              <w:t>序号</w:t>
            </w:r>
          </w:p>
        </w:tc>
        <w:tc>
          <w:tcPr>
            <w:tcW w:w="36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val="0"/>
                <w:bCs/>
                <w:color w:val="000000"/>
                <w:spacing w:val="-6"/>
                <w:sz w:val="24"/>
                <w:highlight w:val="none"/>
              </w:rPr>
            </w:pPr>
            <w:r>
              <w:rPr>
                <w:rFonts w:hint="eastAsia" w:ascii="Times New Roman" w:hAnsi="Times New Roman" w:eastAsia="黑体" w:cs="黑体"/>
                <w:b w:val="0"/>
                <w:bCs/>
                <w:color w:val="000000"/>
                <w:spacing w:val="-6"/>
                <w:sz w:val="24"/>
                <w:highlight w:val="none"/>
              </w:rPr>
              <w:t>产品名称</w:t>
            </w:r>
          </w:p>
        </w:tc>
        <w:tc>
          <w:tcPr>
            <w:tcW w:w="36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val="0"/>
                <w:bCs/>
                <w:color w:val="000000"/>
                <w:spacing w:val="-6"/>
                <w:sz w:val="24"/>
                <w:highlight w:val="none"/>
              </w:rPr>
            </w:pPr>
            <w:r>
              <w:rPr>
                <w:rFonts w:hint="eastAsia" w:ascii="Times New Roman" w:hAnsi="Times New Roman" w:eastAsia="黑体" w:cs="黑体"/>
                <w:b w:val="0"/>
                <w:bCs/>
                <w:color w:val="000000"/>
                <w:spacing w:val="-6"/>
                <w:sz w:val="24"/>
                <w:highlight w:val="none"/>
              </w:rPr>
              <w:t>第1组数量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83"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1</w:t>
            </w:r>
          </w:p>
        </w:tc>
        <w:tc>
          <w:tcPr>
            <w:tcW w:w="3616"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老视成镜</w:t>
            </w:r>
          </w:p>
        </w:tc>
        <w:tc>
          <w:tcPr>
            <w:tcW w:w="3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1副</w:t>
            </w:r>
          </w:p>
        </w:tc>
      </w:tr>
    </w:tbl>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56" w:firstLineChars="200"/>
        <w:textAlignment w:val="auto"/>
        <w:rPr>
          <w:rFonts w:ascii="Times New Roman" w:hAnsi="Times New Roman" w:cs="Times New Roman"/>
          <w:bCs/>
          <w:color w:val="000000"/>
          <w:spacing w:val="-6"/>
          <w:kern w:val="0"/>
          <w:sz w:val="24"/>
          <w:szCs w:val="18"/>
          <w:highlight w:val="none"/>
        </w:rPr>
      </w:pPr>
      <w:r>
        <w:rPr>
          <w:rFonts w:hint="eastAsia" w:ascii="Times New Roman" w:hAnsi="Times New Roman" w:cs="Times New Roman"/>
          <w:bCs/>
          <w:color w:val="000000"/>
          <w:spacing w:val="-6"/>
          <w:kern w:val="0"/>
          <w:sz w:val="24"/>
          <w:szCs w:val="18"/>
          <w:highlight w:val="none"/>
          <w:lang w:val="en-US" w:eastAsia="zh-CN"/>
        </w:rPr>
        <w:t>注：</w:t>
      </w:r>
      <w:r>
        <w:rPr>
          <w:rFonts w:ascii="Times New Roman" w:hAnsi="Times New Roman" w:cs="Times New Roman"/>
          <w:bCs/>
          <w:color w:val="000000"/>
          <w:spacing w:val="-6"/>
          <w:kern w:val="0"/>
          <w:sz w:val="24"/>
          <w:szCs w:val="18"/>
          <w:highlight w:val="none"/>
        </w:rPr>
        <w:t>为确保样品的完好有效，每一副老视成镜应有独立的包装，并附有完整的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912" w:firstLineChars="4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bCs/>
          <w:color w:val="000000"/>
          <w:spacing w:val="-6"/>
          <w:kern w:val="0"/>
          <w:sz w:val="24"/>
          <w:szCs w:val="18"/>
          <w:highlight w:val="none"/>
        </w:rPr>
        <w:t>出厂标识标签等，在运输和寄送过程中应适当防护，防止样品变形或破损</w:t>
      </w:r>
      <w:r>
        <w:rPr>
          <w:rFonts w:ascii="Times New Roman" w:hAnsi="Times New Roman" w:cs="Times New Roman"/>
          <w:color w:val="000000"/>
          <w:spacing w:val="-6"/>
          <w:kern w:val="0"/>
          <w:sz w:val="24"/>
          <w:szCs w:val="24"/>
          <w:highlight w:val="none"/>
        </w:rPr>
        <w:t>。</w:t>
      </w:r>
    </w:p>
    <w:p>
      <w:pPr>
        <w:pageBreakBefore w:val="0"/>
        <w:shd w:val="clear" w:color="auto" w:fill="auto"/>
        <w:kinsoku/>
        <w:wordWrap/>
        <w:overflowPunct/>
        <w:bidi w:val="0"/>
        <w:spacing w:line="600" w:lineRule="exact"/>
        <w:ind w:firstLine="616" w:firstLineChars="200"/>
        <w:textAlignment w:val="auto"/>
        <w:rPr>
          <w:rFonts w:ascii="Times New Roman" w:hAnsi="Times New Roman" w:eastAsia="黑体" w:cs="Times New Roman"/>
          <w:color w:val="000000"/>
          <w:spacing w:val="-6"/>
          <w:sz w:val="32"/>
          <w:szCs w:val="32"/>
          <w:highlight w:val="none"/>
        </w:rPr>
      </w:pPr>
      <w:r>
        <w:rPr>
          <w:rFonts w:ascii="Times New Roman" w:hAnsi="Times New Roman" w:eastAsia="黑体" w:cs="Times New Roman"/>
          <w:color w:val="000000"/>
          <w:spacing w:val="-6"/>
          <w:sz w:val="32"/>
          <w:szCs w:val="32"/>
          <w:highlight w:val="none"/>
        </w:rPr>
        <w:t>二、主要检验项目及检验项目属性划分</w:t>
      </w:r>
    </w:p>
    <w:tbl>
      <w:tblPr>
        <w:tblStyle w:val="6"/>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17"/>
        <w:gridCol w:w="2422"/>
        <w:gridCol w:w="798"/>
        <w:gridCol w:w="708"/>
        <w:gridCol w:w="709"/>
        <w:gridCol w:w="7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序号</w:t>
            </w:r>
          </w:p>
        </w:tc>
        <w:tc>
          <w:tcPr>
            <w:tcW w:w="211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检验项目</w:t>
            </w:r>
          </w:p>
        </w:tc>
        <w:tc>
          <w:tcPr>
            <w:tcW w:w="24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检验方法</w:t>
            </w:r>
          </w:p>
        </w:tc>
        <w:tc>
          <w:tcPr>
            <w:tcW w:w="7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强</w:t>
            </w:r>
          </w:p>
          <w:p>
            <w:pPr>
              <w:adjustRightInd w:val="0"/>
              <w:snapToGrid w:val="0"/>
              <w:spacing w:line="360" w:lineRule="exact"/>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制</w:t>
            </w:r>
          </w:p>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性</w:t>
            </w:r>
          </w:p>
        </w:tc>
        <w:tc>
          <w:tcPr>
            <w:tcW w:w="7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非强</w:t>
            </w:r>
          </w:p>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制性</w:t>
            </w: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重</w:t>
            </w:r>
          </w:p>
          <w:p>
            <w:pPr>
              <w:adjustRightInd w:val="0"/>
              <w:snapToGrid w:val="0"/>
              <w:spacing w:line="240" w:lineRule="auto"/>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要</w:t>
            </w:r>
          </w:p>
          <w:p>
            <w:pPr>
              <w:adjustRightInd w:val="0"/>
              <w:snapToGrid w:val="0"/>
              <w:spacing w:line="240" w:lineRule="auto"/>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项</w:t>
            </w:r>
          </w:p>
        </w:tc>
        <w:tc>
          <w:tcPr>
            <w:tcW w:w="70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较重</w:t>
            </w:r>
          </w:p>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要项</w:t>
            </w:r>
          </w:p>
        </w:tc>
        <w:tc>
          <w:tcPr>
            <w:tcW w:w="7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次</w:t>
            </w:r>
          </w:p>
          <w:p>
            <w:pPr>
              <w:adjustRightInd w:val="0"/>
              <w:snapToGrid w:val="0"/>
              <w:spacing w:line="360" w:lineRule="exact"/>
              <w:jc w:val="center"/>
              <w:rPr>
                <w:rFonts w:hint="eastAsia" w:ascii="Times New Roman" w:hAnsi="Times New Roman" w:eastAsia="黑体" w:cs="黑体"/>
                <w:b w:val="0"/>
                <w:bCs w:val="0"/>
                <w:color w:val="000000"/>
                <w:spacing w:val="-6"/>
                <w:sz w:val="24"/>
              </w:rPr>
            </w:pPr>
            <w:r>
              <w:rPr>
                <w:rFonts w:hint="eastAsia" w:ascii="Times New Roman" w:hAnsi="Times New Roman" w:eastAsia="黑体" w:cs="黑体"/>
                <w:b w:val="0"/>
                <w:bCs w:val="0"/>
                <w:color w:val="000000"/>
                <w:spacing w:val="-6"/>
                <w:sz w:val="24"/>
              </w:rPr>
              <w:t>要</w:t>
            </w:r>
          </w:p>
          <w:p>
            <w:pPr>
              <w:adjustRightInd w:val="0"/>
              <w:snapToGrid w:val="0"/>
              <w:spacing w:line="360" w:lineRule="exact"/>
              <w:jc w:val="center"/>
              <w:rPr>
                <w:rFonts w:ascii="Times New Roman" w:hAnsi="Times New Roman" w:cs="Times New Roman"/>
                <w:b/>
                <w:bCs/>
                <w:color w:val="000000"/>
                <w:spacing w:val="-6"/>
                <w:sz w:val="24"/>
                <w:highlight w:val="none"/>
              </w:rPr>
            </w:pPr>
            <w:r>
              <w:rPr>
                <w:rFonts w:hint="eastAsia" w:ascii="Times New Roman" w:hAnsi="Times New Roman" w:eastAsia="黑体" w:cs="黑体"/>
                <w:b w:val="0"/>
                <w:bCs w:val="0"/>
                <w:color w:val="000000"/>
                <w:spacing w:val="-6"/>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1</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球镜顶焦度允差（主子午面一）</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10810.1-2005 6.1</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2</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球镜顶焦度允差（主子午面二）</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10810.1-2005 6.1</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3</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柱镜顶焦度允差</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10810.1-2005 6.1</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4</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可见光谱区透射比</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10810.3-2006</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5</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光学中心水平距离允差</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13511.1-2011 6.4</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6</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光学中心单侧水平允差</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13511.1-2011 6.4</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vMerge w:val="restart"/>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7</w:t>
            </w:r>
          </w:p>
        </w:tc>
        <w:tc>
          <w:tcPr>
            <w:tcW w:w="2117" w:type="dxa"/>
            <w:vMerge w:val="restart"/>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光学中心垂直互差</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13511.1-2011 6.4</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vMerge w:val="continue"/>
            <w:tcBorders>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p>
        </w:tc>
        <w:tc>
          <w:tcPr>
            <w:tcW w:w="2117" w:type="dxa"/>
            <w:vMerge w:val="continue"/>
            <w:tcBorders>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GB/T</w:t>
            </w:r>
            <w:r>
              <w:rPr>
                <w:rFonts w:hint="eastAsia" w:ascii="Times New Roman" w:hAnsi="Times New Roman" w:cs="Times New Roman"/>
                <w:color w:val="000000"/>
                <w:spacing w:val="-6"/>
                <w:sz w:val="24"/>
                <w:highlight w:val="none"/>
              </w:rPr>
              <w:t xml:space="preserve"> </w:t>
            </w:r>
            <w:r>
              <w:rPr>
                <w:rFonts w:ascii="Times New Roman" w:hAnsi="Times New Roman" w:cs="Times New Roman"/>
                <w:color w:val="000000"/>
                <w:spacing w:val="-6"/>
                <w:sz w:val="24"/>
                <w:highlight w:val="none"/>
              </w:rPr>
              <w:t>13511.3-2019</w:t>
            </w:r>
            <w:r>
              <w:rPr>
                <w:rFonts w:hint="eastAsia" w:ascii="Times New Roman" w:hAnsi="Times New Roman" w:cs="Times New Roman"/>
                <w:color w:val="000000"/>
                <w:spacing w:val="-6"/>
                <w:sz w:val="24"/>
                <w:highlight w:val="none"/>
              </w:rPr>
              <w:t xml:space="preserve"> 5.1</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8</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两镜片顶焦度互差</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10810.1-2005 6.1</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9</w:t>
            </w:r>
          </w:p>
        </w:tc>
        <w:tc>
          <w:tcPr>
            <w:tcW w:w="211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装配质量</w:t>
            </w:r>
          </w:p>
        </w:tc>
        <w:tc>
          <w:tcPr>
            <w:tcW w:w="2422"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GB 13511.1-2011 5.8</w:t>
            </w:r>
          </w:p>
        </w:tc>
        <w:tc>
          <w:tcPr>
            <w:tcW w:w="79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r>
              <w:rPr>
                <w:rFonts w:ascii="Times New Roman" w:hAnsi="Times New Roman" w:cs="Times New Roman"/>
                <w:color w:val="000000"/>
                <w:spacing w:val="-6"/>
                <w:sz w:val="24"/>
                <w:highlight w:val="none"/>
              </w:rPr>
              <w:t>●</w:t>
            </w:r>
          </w:p>
        </w:tc>
        <w:tc>
          <w:tcPr>
            <w:tcW w:w="709" w:type="dxa"/>
            <w:tcBorders>
              <w:top w:val="single" w:color="auto" w:sz="4" w:space="0"/>
              <w:left w:val="single" w:color="auto" w:sz="4" w:space="0"/>
              <w:right w:val="single" w:color="auto" w:sz="4" w:space="0"/>
            </w:tcBorders>
            <w:noWrap/>
            <w:vAlign w:val="center"/>
          </w:tcPr>
          <w:p>
            <w:pPr>
              <w:pageBreakBefore w:val="0"/>
              <w:shd w:val="clear" w:color="auto" w:fill="auto"/>
              <w:kinsoku/>
              <w:wordWrap/>
              <w:overflowPunct/>
              <w:bidi w:val="0"/>
              <w:adjustRightInd w:val="0"/>
              <w:snapToGrid w:val="0"/>
              <w:spacing w:line="240" w:lineRule="auto"/>
              <w:jc w:val="center"/>
              <w:textAlignment w:val="auto"/>
              <w:rPr>
                <w:rFonts w:ascii="Times New Roman" w:hAnsi="Times New Roman" w:cs="Times New Roman"/>
                <w:color w:val="000000"/>
                <w:spacing w:val="-6"/>
                <w:sz w:val="24"/>
                <w:highlight w:val="none"/>
              </w:rPr>
            </w:pPr>
          </w:p>
        </w:tc>
      </w:tr>
    </w:tbl>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56" w:firstLineChars="200"/>
        <w:textAlignment w:val="auto"/>
        <w:rPr>
          <w:rFonts w:hint="eastAsia" w:ascii="Times New Roman" w:hAnsi="Times New Roman" w:eastAsia="仿宋_GB2312" w:cs="仿宋_GB2312"/>
          <w:color w:val="000000"/>
          <w:spacing w:val="-6"/>
          <w:kern w:val="0"/>
          <w:sz w:val="24"/>
          <w:szCs w:val="24"/>
          <w:highlight w:val="none"/>
        </w:rPr>
      </w:pPr>
      <w:r>
        <w:rPr>
          <w:rFonts w:hint="eastAsia" w:ascii="Times New Roman" w:hAnsi="Times New Roman" w:eastAsia="仿宋_GB2312" w:cs="仿宋_GB2312"/>
          <w:color w:val="000000"/>
          <w:spacing w:val="-6"/>
          <w:kern w:val="0"/>
          <w:sz w:val="24"/>
          <w:szCs w:val="24"/>
          <w:highlight w:val="none"/>
        </w:rPr>
        <w:t>注：</w:t>
      </w:r>
      <w:r>
        <w:rPr>
          <w:rFonts w:hint="eastAsia" w:ascii="Times New Roman" w:hAnsi="Times New Roman" w:eastAsia="仿宋_GB2312" w:cs="仿宋_GB2312"/>
          <w:color w:val="000000"/>
          <w:spacing w:val="-6"/>
          <w:kern w:val="0"/>
          <w:sz w:val="24"/>
          <w:szCs w:val="24"/>
          <w:highlight w:val="none"/>
          <w:lang w:val="en-US" w:eastAsia="zh-CN"/>
        </w:rPr>
        <w:t>1.</w:t>
      </w:r>
      <w:r>
        <w:rPr>
          <w:rFonts w:hint="eastAsia" w:ascii="Times New Roman" w:hAnsi="Times New Roman" w:eastAsia="仿宋_GB2312" w:cs="仿宋_GB2312"/>
          <w:color w:val="000000"/>
          <w:spacing w:val="-6"/>
          <w:kern w:val="0"/>
          <w:sz w:val="24"/>
          <w:szCs w:val="24"/>
          <w:highlight w:val="none"/>
        </w:rPr>
        <w:t>执行企业标准、团体标准、地方标准的产品，检验项目参照上述内容执行。</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left="794" w:leftChars="298" w:hanging="168" w:hangingChars="74"/>
        <w:textAlignment w:val="auto"/>
        <w:rPr>
          <w:rFonts w:hint="eastAsia" w:ascii="Times New Roman" w:hAnsi="Times New Roman" w:eastAsia="仿宋_GB2312" w:cs="仿宋_GB2312"/>
          <w:color w:val="000000"/>
          <w:spacing w:val="-6"/>
          <w:kern w:val="0"/>
          <w:sz w:val="24"/>
          <w:szCs w:val="24"/>
          <w:highlight w:val="none"/>
        </w:rPr>
      </w:pPr>
      <w:r>
        <w:rPr>
          <w:rFonts w:hint="eastAsia" w:ascii="Times New Roman" w:hAnsi="Times New Roman" w:eastAsia="仿宋_GB2312" w:cs="仿宋_GB2312"/>
          <w:color w:val="000000"/>
          <w:spacing w:val="-6"/>
          <w:kern w:val="0"/>
          <w:sz w:val="24"/>
          <w:szCs w:val="24"/>
          <w:highlight w:val="none"/>
          <w:lang w:val="en-US" w:eastAsia="zh-CN"/>
        </w:rPr>
        <w:t>2.</w:t>
      </w:r>
      <w:r>
        <w:rPr>
          <w:rFonts w:hint="eastAsia" w:ascii="Times New Roman" w:hAnsi="Times New Roman" w:eastAsia="仿宋_GB2312" w:cs="仿宋_GB2312"/>
          <w:color w:val="000000"/>
          <w:spacing w:val="-6"/>
          <w:kern w:val="0"/>
          <w:sz w:val="24"/>
          <w:szCs w:val="24"/>
          <w:highlight w:val="none"/>
        </w:rPr>
        <w:t>凡是注日期的文件，其随后所有的修改单（不包括勘误的内容）或修订版不适用于本细则。凡是不注日期的文件，其最新版本适用于本细则。</w:t>
      </w:r>
    </w:p>
    <w:p>
      <w:pPr>
        <w:keepNext w:val="0"/>
        <w:keepLines w:val="0"/>
        <w:pageBreakBefore w:val="0"/>
        <w:shd w:val="clear" w:color="auto" w:fill="auto"/>
        <w:kinsoku/>
        <w:wordWrap/>
        <w:overflowPunct/>
        <w:topLinePunct w:val="0"/>
        <w:bidi w:val="0"/>
        <w:adjustRightInd w:val="0"/>
        <w:snapToGrid w:val="0"/>
        <w:spacing w:line="560" w:lineRule="exact"/>
        <w:ind w:firstLine="616" w:firstLineChars="200"/>
        <w:textAlignment w:val="auto"/>
        <w:rPr>
          <w:rFonts w:ascii="Times New Roman" w:hAnsi="Times New Roman" w:eastAsia="黑体" w:cs="Times New Roman"/>
          <w:color w:val="000000"/>
          <w:spacing w:val="-6"/>
          <w:sz w:val="32"/>
          <w:szCs w:val="32"/>
          <w:highlight w:val="none"/>
        </w:rPr>
      </w:pPr>
      <w:r>
        <w:rPr>
          <w:rFonts w:ascii="Times New Roman" w:hAnsi="Times New Roman" w:eastAsia="黑体" w:cs="Times New Roman"/>
          <w:color w:val="000000"/>
          <w:spacing w:val="-6"/>
          <w:sz w:val="32"/>
          <w:szCs w:val="32"/>
          <w:highlight w:val="none"/>
        </w:rPr>
        <w:t>三、判定规则</w:t>
      </w:r>
    </w:p>
    <w:p>
      <w:pPr>
        <w:keepNext w:val="0"/>
        <w:keepLines w:val="0"/>
        <w:pageBreakBefore w:val="0"/>
        <w:shd w:val="clear" w:color="auto" w:fill="auto"/>
        <w:kinsoku/>
        <w:wordWrap/>
        <w:overflowPunct/>
        <w:topLinePunct w:val="0"/>
        <w:bidi w:val="0"/>
        <w:adjustRightInd w:val="0"/>
        <w:snapToGrid w:val="0"/>
        <w:spacing w:line="560" w:lineRule="exact"/>
        <w:ind w:firstLine="616" w:firstLineChars="200"/>
        <w:textAlignment w:val="auto"/>
        <w:rPr>
          <w:rFonts w:hint="eastAsia" w:ascii="Times New Roman" w:hAnsi="Times New Roman" w:eastAsia="楷体_GB2312" w:cs="楷体_GB2312"/>
          <w:color w:val="000000"/>
          <w:spacing w:val="-6"/>
          <w:sz w:val="32"/>
          <w:szCs w:val="32"/>
          <w:highlight w:val="none"/>
        </w:rPr>
      </w:pPr>
      <w:r>
        <w:rPr>
          <w:rFonts w:hint="eastAsia" w:ascii="Times New Roman" w:hAnsi="Times New Roman" w:eastAsia="楷体_GB2312" w:cs="楷体_GB2312"/>
          <w:color w:val="000000"/>
          <w:spacing w:val="-6"/>
          <w:sz w:val="32"/>
          <w:szCs w:val="32"/>
          <w:highlight w:val="none"/>
        </w:rPr>
        <w:t>（一）依据标准</w:t>
      </w:r>
    </w:p>
    <w:p>
      <w:pPr>
        <w:keepNext w:val="0"/>
        <w:keepLines w:val="0"/>
        <w:pageBreakBefore w:val="0"/>
        <w:shd w:val="clear" w:color="auto" w:fill="auto"/>
        <w:kinsoku/>
        <w:wordWrap/>
        <w:overflowPunct/>
        <w:topLinePunct w:val="0"/>
        <w:bidi w:val="0"/>
        <w:adjustRightInd w:val="0"/>
        <w:snapToGrid w:val="0"/>
        <w:spacing w:line="560" w:lineRule="exact"/>
        <w:ind w:firstLine="640"/>
        <w:textAlignment w:val="auto"/>
        <w:rPr>
          <w:rFonts w:hint="eastAsia" w:ascii="Times New Roman" w:hAnsi="Times New Roman" w:eastAsia="仿宋_GB2312" w:cs="仿宋_GB2312"/>
          <w:color w:val="000000"/>
          <w:spacing w:val="-6"/>
          <w:sz w:val="32"/>
          <w:szCs w:val="32"/>
          <w:highlight w:val="none"/>
        </w:rPr>
      </w:pPr>
      <w:r>
        <w:rPr>
          <w:rFonts w:hint="eastAsia" w:ascii="Times New Roman" w:hAnsi="Times New Roman" w:eastAsia="仿宋_GB2312" w:cs="仿宋_GB2312"/>
          <w:color w:val="000000"/>
          <w:spacing w:val="-6"/>
          <w:sz w:val="32"/>
          <w:szCs w:val="32"/>
          <w:highlight w:val="none"/>
        </w:rPr>
        <w:t>1</w:t>
      </w:r>
      <w:r>
        <w:rPr>
          <w:rFonts w:hint="eastAsia" w:ascii="Times New Roman" w:hAnsi="Times New Roman" w:cs="仿宋_GB2312"/>
          <w:color w:val="000000"/>
          <w:spacing w:val="-6"/>
          <w:sz w:val="32"/>
          <w:szCs w:val="32"/>
          <w:highlight w:val="none"/>
          <w:lang w:eastAsia="zh-CN"/>
        </w:rPr>
        <w:t>.</w:t>
      </w:r>
      <w:r>
        <w:rPr>
          <w:rFonts w:hint="eastAsia" w:ascii="Times New Roman" w:hAnsi="Times New Roman" w:eastAsia="仿宋_GB2312" w:cs="仿宋_GB2312"/>
          <w:color w:val="000000"/>
          <w:spacing w:val="-6"/>
          <w:sz w:val="32"/>
          <w:szCs w:val="32"/>
          <w:highlight w:val="none"/>
        </w:rPr>
        <w:t>强制性标准。</w:t>
      </w:r>
    </w:p>
    <w:p>
      <w:pPr>
        <w:keepNext w:val="0"/>
        <w:keepLines w:val="0"/>
        <w:pageBreakBefore w:val="0"/>
        <w:widowControl/>
        <w:shd w:val="clear" w:color="auto" w:fill="auto"/>
        <w:kinsoku/>
        <w:wordWrap/>
        <w:overflowPunct/>
        <w:topLinePunct w:val="0"/>
        <w:autoSpaceDN w:val="0"/>
        <w:bidi w:val="0"/>
        <w:spacing w:line="560" w:lineRule="exact"/>
        <w:ind w:firstLine="616" w:firstLineChars="200"/>
        <w:textAlignment w:val="auto"/>
        <w:rPr>
          <w:rFonts w:hint="eastAsia" w:ascii="Times New Roman" w:hAnsi="Times New Roman" w:eastAsia="仿宋_GB2312" w:cs="仿宋_GB2312"/>
          <w:color w:val="000000"/>
          <w:spacing w:val="-6"/>
          <w:kern w:val="0"/>
          <w:sz w:val="32"/>
          <w:szCs w:val="32"/>
          <w:highlight w:val="none"/>
        </w:rPr>
      </w:pPr>
      <w:r>
        <w:rPr>
          <w:rFonts w:hint="eastAsia" w:ascii="Times New Roman" w:hAnsi="Times New Roman" w:eastAsia="仿宋_GB2312" w:cs="仿宋_GB2312"/>
          <w:color w:val="000000"/>
          <w:spacing w:val="-6"/>
          <w:kern w:val="0"/>
          <w:sz w:val="32"/>
          <w:szCs w:val="32"/>
          <w:highlight w:val="none"/>
        </w:rPr>
        <w:t>GB 13511.1-2011 《配装眼镜 第1部分：单光和多焦点》</w:t>
      </w:r>
    </w:p>
    <w:p>
      <w:pPr>
        <w:keepNext w:val="0"/>
        <w:keepLines w:val="0"/>
        <w:pageBreakBefore w:val="0"/>
        <w:widowControl/>
        <w:shd w:val="clear" w:color="auto" w:fill="auto"/>
        <w:kinsoku/>
        <w:wordWrap/>
        <w:overflowPunct/>
        <w:topLinePunct w:val="0"/>
        <w:autoSpaceDN w:val="0"/>
        <w:bidi w:val="0"/>
        <w:spacing w:line="560" w:lineRule="exact"/>
        <w:ind w:firstLine="616" w:firstLineChars="200"/>
        <w:textAlignment w:val="auto"/>
        <w:rPr>
          <w:rFonts w:hint="eastAsia" w:ascii="Times New Roman" w:hAnsi="Times New Roman" w:eastAsia="仿宋_GB2312" w:cs="仿宋_GB2312"/>
          <w:color w:val="000000"/>
          <w:spacing w:val="-6"/>
          <w:sz w:val="32"/>
          <w:highlight w:val="none"/>
        </w:rPr>
      </w:pPr>
      <w:r>
        <w:rPr>
          <w:rFonts w:hint="eastAsia" w:ascii="Times New Roman" w:hAnsi="Times New Roman" w:eastAsia="仿宋_GB2312" w:cs="仿宋_GB2312"/>
          <w:color w:val="000000"/>
          <w:spacing w:val="-6"/>
          <w:sz w:val="32"/>
          <w:highlight w:val="none"/>
        </w:rPr>
        <w:t>GB 10810.1-2005 《眼镜镜片 第1部分：单光和多焦点镜片》</w:t>
      </w:r>
    </w:p>
    <w:p>
      <w:pPr>
        <w:keepNext w:val="0"/>
        <w:keepLines w:val="0"/>
        <w:pageBreakBefore w:val="0"/>
        <w:widowControl/>
        <w:shd w:val="clear" w:color="auto" w:fill="auto"/>
        <w:kinsoku/>
        <w:wordWrap/>
        <w:overflowPunct/>
        <w:topLinePunct w:val="0"/>
        <w:autoSpaceDN w:val="0"/>
        <w:bidi w:val="0"/>
        <w:spacing w:line="560" w:lineRule="exact"/>
        <w:ind w:firstLine="616" w:firstLineChars="200"/>
        <w:textAlignment w:val="auto"/>
        <w:rPr>
          <w:rFonts w:hint="eastAsia" w:ascii="Times New Roman" w:hAnsi="Times New Roman" w:eastAsia="仿宋_GB2312" w:cs="仿宋_GB2312"/>
          <w:color w:val="000000"/>
          <w:spacing w:val="-6"/>
          <w:sz w:val="32"/>
          <w:highlight w:val="none"/>
        </w:rPr>
      </w:pPr>
      <w:r>
        <w:rPr>
          <w:rFonts w:hint="eastAsia" w:ascii="Times New Roman" w:hAnsi="Times New Roman" w:eastAsia="仿宋_GB2312" w:cs="仿宋_GB2312"/>
          <w:color w:val="000000"/>
          <w:spacing w:val="-6"/>
          <w:sz w:val="32"/>
          <w:highlight w:val="none"/>
        </w:rPr>
        <w:t xml:space="preserve">GB 10810.3-2006 《眼镜镜片及相关眼镜产品 </w:t>
      </w:r>
      <w:r>
        <w:rPr>
          <w:rFonts w:hint="eastAsia" w:ascii="Times New Roman" w:hAnsi="Times New Roman" w:eastAsia="仿宋_GB2312" w:cs="仿宋_GB2312"/>
          <w:color w:val="000000"/>
          <w:spacing w:val="-6"/>
          <w:sz w:val="32"/>
          <w:highlight w:val="none"/>
          <w:lang w:eastAsia="zh-CN"/>
        </w:rPr>
        <w:t>第</w:t>
      </w:r>
      <w:r>
        <w:rPr>
          <w:rFonts w:hint="eastAsia" w:ascii="Times New Roman" w:hAnsi="Times New Roman" w:eastAsia="仿宋_GB2312" w:cs="仿宋_GB2312"/>
          <w:color w:val="000000"/>
          <w:spacing w:val="-6"/>
          <w:sz w:val="32"/>
          <w:highlight w:val="none"/>
          <w:lang w:val="en-US" w:eastAsia="zh-CN"/>
        </w:rPr>
        <w:t>3部分：</w:t>
      </w:r>
      <w:r>
        <w:rPr>
          <w:rFonts w:hint="eastAsia" w:ascii="Times New Roman" w:hAnsi="Times New Roman" w:eastAsia="仿宋_GB2312" w:cs="仿宋_GB2312"/>
          <w:color w:val="000000"/>
          <w:spacing w:val="-6"/>
          <w:sz w:val="32"/>
          <w:highlight w:val="none"/>
        </w:rPr>
        <w:t>透射比规范及测量方法》</w:t>
      </w:r>
    </w:p>
    <w:p>
      <w:pPr>
        <w:keepNext w:val="0"/>
        <w:keepLines w:val="0"/>
        <w:pageBreakBefore w:val="0"/>
        <w:widowControl/>
        <w:shd w:val="clear" w:color="auto" w:fill="auto"/>
        <w:kinsoku/>
        <w:wordWrap/>
        <w:overflowPunct/>
        <w:topLinePunct w:val="0"/>
        <w:autoSpaceDN w:val="0"/>
        <w:bidi w:val="0"/>
        <w:spacing w:line="560" w:lineRule="exact"/>
        <w:ind w:firstLine="616" w:firstLineChars="200"/>
        <w:textAlignment w:val="auto"/>
        <w:rPr>
          <w:rFonts w:hint="eastAsia" w:ascii="Times New Roman" w:hAnsi="Times New Roman" w:eastAsia="仿宋_GB2312" w:cs="仿宋_GB2312"/>
          <w:color w:val="000000"/>
          <w:spacing w:val="-6"/>
          <w:kern w:val="0"/>
          <w:sz w:val="32"/>
          <w:szCs w:val="32"/>
          <w:highlight w:val="none"/>
        </w:rPr>
      </w:pPr>
      <w:r>
        <w:rPr>
          <w:rFonts w:hint="eastAsia" w:ascii="Times New Roman" w:hAnsi="Times New Roman" w:eastAsia="仿宋_GB2312" w:cs="仿宋_GB2312"/>
          <w:color w:val="000000"/>
          <w:spacing w:val="-6"/>
          <w:kern w:val="0"/>
          <w:sz w:val="32"/>
          <w:szCs w:val="32"/>
          <w:highlight w:val="none"/>
        </w:rPr>
        <w:t>2.推荐性标准。</w:t>
      </w:r>
    </w:p>
    <w:p>
      <w:pPr>
        <w:keepNext w:val="0"/>
        <w:keepLines w:val="0"/>
        <w:pageBreakBefore w:val="0"/>
        <w:widowControl/>
        <w:shd w:val="clear" w:color="auto" w:fill="auto"/>
        <w:kinsoku/>
        <w:wordWrap/>
        <w:overflowPunct/>
        <w:topLinePunct w:val="0"/>
        <w:autoSpaceDN w:val="0"/>
        <w:bidi w:val="0"/>
        <w:spacing w:line="560" w:lineRule="exact"/>
        <w:ind w:firstLine="616" w:firstLineChars="200"/>
        <w:textAlignment w:val="auto"/>
        <w:rPr>
          <w:rFonts w:hint="eastAsia" w:ascii="Times New Roman" w:hAnsi="Times New Roman" w:eastAsia="仿宋_GB2312" w:cs="仿宋_GB2312"/>
          <w:color w:val="000000"/>
          <w:spacing w:val="-6"/>
          <w:sz w:val="32"/>
          <w:szCs w:val="21"/>
          <w:highlight w:val="none"/>
        </w:rPr>
      </w:pPr>
      <w:r>
        <w:rPr>
          <w:rFonts w:hint="eastAsia" w:ascii="Times New Roman" w:hAnsi="Times New Roman" w:eastAsia="仿宋_GB2312" w:cs="仿宋_GB2312"/>
          <w:color w:val="000000"/>
          <w:spacing w:val="-6"/>
          <w:sz w:val="32"/>
          <w:szCs w:val="21"/>
          <w:highlight w:val="none"/>
        </w:rPr>
        <w:t>GB/T 13511.3-2019《配装眼镜  第3部分：单光老视成镜》</w:t>
      </w:r>
    </w:p>
    <w:p>
      <w:pPr>
        <w:keepNext w:val="0"/>
        <w:keepLines w:val="0"/>
        <w:pageBreakBefore w:val="0"/>
        <w:shd w:val="clear" w:color="auto" w:fill="auto"/>
        <w:kinsoku/>
        <w:wordWrap/>
        <w:overflowPunct/>
        <w:topLinePunct w:val="0"/>
        <w:bidi w:val="0"/>
        <w:adjustRightInd w:val="0"/>
        <w:snapToGrid w:val="0"/>
        <w:spacing w:line="560" w:lineRule="exact"/>
        <w:ind w:firstLine="616" w:firstLineChars="200"/>
        <w:textAlignment w:val="auto"/>
        <w:rPr>
          <w:rFonts w:hint="eastAsia" w:ascii="Times New Roman" w:hAnsi="Times New Roman" w:eastAsia="仿宋_GB2312" w:cs="仿宋_GB2312"/>
          <w:color w:val="000000"/>
          <w:spacing w:val="-6"/>
          <w:sz w:val="32"/>
          <w:highlight w:val="none"/>
        </w:rPr>
      </w:pPr>
      <w:r>
        <w:rPr>
          <w:rFonts w:hint="eastAsia" w:ascii="Times New Roman" w:hAnsi="Times New Roman" w:eastAsia="仿宋_GB2312" w:cs="仿宋_GB2312"/>
          <w:color w:val="000000"/>
          <w:spacing w:val="-6"/>
          <w:sz w:val="32"/>
          <w:szCs w:val="32"/>
          <w:highlight w:val="none"/>
        </w:rPr>
        <w:t>现行有效的企业标准、团体标准、地方标准及产品明示质量要求。</w:t>
      </w:r>
    </w:p>
    <w:p>
      <w:pPr>
        <w:keepNext w:val="0"/>
        <w:keepLines w:val="0"/>
        <w:pageBreakBefore w:val="0"/>
        <w:shd w:val="clear" w:color="auto" w:fill="auto"/>
        <w:kinsoku/>
        <w:wordWrap/>
        <w:overflowPunct/>
        <w:topLinePunct w:val="0"/>
        <w:bidi w:val="0"/>
        <w:adjustRightInd w:val="0"/>
        <w:snapToGrid w:val="0"/>
        <w:spacing w:line="560" w:lineRule="exact"/>
        <w:ind w:firstLine="616" w:firstLineChars="200"/>
        <w:textAlignment w:val="auto"/>
        <w:rPr>
          <w:rFonts w:hint="eastAsia" w:ascii="Times New Roman" w:hAnsi="Times New Roman" w:eastAsia="楷体_GB2312" w:cs="楷体_GB2312"/>
          <w:color w:val="000000"/>
          <w:spacing w:val="-6"/>
          <w:sz w:val="32"/>
          <w:szCs w:val="32"/>
          <w:highlight w:val="none"/>
        </w:rPr>
      </w:pPr>
      <w:r>
        <w:rPr>
          <w:rFonts w:hint="eastAsia" w:ascii="Times New Roman" w:hAnsi="Times New Roman" w:eastAsia="楷体_GB2312" w:cs="楷体_GB2312"/>
          <w:color w:val="000000"/>
          <w:spacing w:val="-6"/>
          <w:sz w:val="32"/>
          <w:szCs w:val="32"/>
          <w:highlight w:val="none"/>
        </w:rPr>
        <w:t>（二）判定原则</w:t>
      </w:r>
    </w:p>
    <w:p>
      <w:pPr>
        <w:keepNext w:val="0"/>
        <w:keepLines w:val="0"/>
        <w:pageBreakBefore w:val="0"/>
        <w:shd w:val="clear" w:color="auto" w:fill="auto"/>
        <w:kinsoku/>
        <w:wordWrap/>
        <w:overflowPunct/>
        <w:topLinePunct w:val="0"/>
        <w:bidi w:val="0"/>
        <w:snapToGrid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经检验，检验项目全部合格，判定为抽取的样本所检项目未检出不合格；检验项目中任一项或一项以上不合格，判定为被抽查产品不合格。</w:t>
      </w:r>
    </w:p>
    <w:p>
      <w:pPr>
        <w:keepNext w:val="0"/>
        <w:keepLines w:val="0"/>
        <w:pageBreakBefore w:val="0"/>
        <w:widowControl/>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当被检样品明示的质量要求优于监督抽查实施细则中依据的标准要求时，应按被检样品明示的质量要求判定；</w:t>
      </w:r>
    </w:p>
    <w:p>
      <w:pPr>
        <w:keepNext w:val="0"/>
        <w:keepLines w:val="0"/>
        <w:pageBreakBefore w:val="0"/>
        <w:widowControl/>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当被检样品准要求判定；</w:t>
      </w:r>
    </w:p>
    <w:p>
      <w:pPr>
        <w:keepNext w:val="0"/>
        <w:keepLines w:val="0"/>
        <w:pageBreakBefore w:val="0"/>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当被检样品明示的质量要求劣于或包含监督抽查实施细则中依据的推荐性标准要求时，应以被检样品明示的质量要求判定，如相应检验结果不符合相关推荐性标准要求时，应在检验报告中予以说明；</w:t>
      </w:r>
    </w:p>
    <w:p>
      <w:pPr>
        <w:keepNext w:val="0"/>
        <w:keepLines w:val="0"/>
        <w:pageBreakBefore w:val="0"/>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当被检样品明示的质量要求不包含监督抽查实施细则中依据的推荐性标准要求时，该指标不参与判定，但应在检验报告中作出说明；</w:t>
      </w:r>
    </w:p>
    <w:p>
      <w:pPr>
        <w:keepNext w:val="0"/>
        <w:keepLines w:val="0"/>
        <w:pageBreakBefore w:val="0"/>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当被检样品未能提供有效的企业标准时，按相关国家或行业标准进行判定；</w:t>
      </w:r>
    </w:p>
    <w:p>
      <w:pPr>
        <w:keepNext w:val="0"/>
        <w:keepLines w:val="0"/>
        <w:pageBreakBefore w:val="0"/>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按照产品质量相关法律法规的规定判定。</w:t>
      </w:r>
    </w:p>
    <w:p>
      <w:pPr>
        <w:keepNext w:val="0"/>
        <w:keepLines w:val="0"/>
        <w:pageBreakBefore w:val="0"/>
        <w:widowControl/>
        <w:shd w:val="clear" w:color="auto" w:fill="auto"/>
        <w:kinsoku/>
        <w:wordWrap/>
        <w:overflowPunct/>
        <w:topLinePunct w:val="0"/>
        <w:autoSpaceDE w:val="0"/>
        <w:autoSpaceDN w:val="0"/>
        <w:bidi w:val="0"/>
        <w:spacing w:line="560" w:lineRule="exact"/>
        <w:ind w:firstLine="616" w:firstLineChars="200"/>
        <w:textAlignment w:val="auto"/>
        <w:rPr>
          <w:rFonts w:ascii="Times New Roman" w:hAnsi="Times New Roman" w:cs="Times New Roman"/>
          <w:color w:val="000000"/>
          <w:spacing w:val="-6"/>
          <w:kern w:val="0"/>
          <w:sz w:val="32"/>
          <w:szCs w:val="32"/>
          <w:highlight w:val="none"/>
        </w:rPr>
      </w:pPr>
      <w:r>
        <w:rPr>
          <w:rFonts w:ascii="Times New Roman" w:hAnsi="Times New Roman" w:cs="Times New Roman"/>
          <w:color w:val="000000"/>
          <w:spacing w:val="-6"/>
          <w:kern w:val="0"/>
          <w:sz w:val="32"/>
          <w:szCs w:val="32"/>
          <w:highlight w:val="none"/>
        </w:rPr>
        <w:t>检验中发现因样品失效或者其他原因致使检验无法进行的，检验人员应如实记录，并提供相关证明材料，报送组织监督抽查的市场监管部门。</w:t>
      </w:r>
    </w:p>
    <w:p>
      <w:pPr>
        <w:shd w:val="clear" w:color="auto" w:fill="auto"/>
        <w:rPr>
          <w:rFonts w:hint="eastAsia" w:ascii="Times New Roman" w:hAnsi="Times New Roman" w:eastAsia="方正黑体_GBK" w:cs="方正黑体_GBK"/>
          <w:bCs/>
          <w:color w:val="000000"/>
          <w:spacing w:val="-6"/>
          <w:sz w:val="32"/>
          <w:szCs w:val="32"/>
          <w:highlight w:val="none"/>
          <w:lang w:val="en-US" w:eastAsia="zh-CN"/>
        </w:rPr>
      </w:pPr>
    </w:p>
    <w:p>
      <w:pPr>
        <w:shd w:val="clear" w:color="auto" w:fill="auto"/>
        <w:rPr>
          <w:rFonts w:hint="eastAsia" w:ascii="Times New Roman" w:hAnsi="Times New Roman" w:eastAsia="方正黑体_GBK" w:cs="方正黑体_GBK"/>
          <w:bCs/>
          <w:color w:val="000000"/>
          <w:spacing w:val="-6"/>
          <w:sz w:val="32"/>
          <w:szCs w:val="32"/>
          <w:highlight w:val="none"/>
          <w:lang w:val="en-US" w:eastAsia="zh-CN"/>
        </w:rPr>
      </w:pPr>
    </w:p>
    <w:p>
      <w:pPr>
        <w:shd w:val="clear" w:color="auto" w:fill="auto"/>
        <w:rPr>
          <w:rFonts w:hint="eastAsia" w:ascii="Times New Roman" w:hAnsi="Times New Roman" w:eastAsia="方正黑体_GBK" w:cs="方正黑体_GBK"/>
          <w:bCs/>
          <w:color w:val="000000"/>
          <w:spacing w:val="-6"/>
          <w:sz w:val="32"/>
          <w:szCs w:val="32"/>
          <w:highlight w:val="none"/>
          <w:lang w:val="en-US" w:eastAsia="zh-CN"/>
        </w:rPr>
      </w:pPr>
    </w:p>
    <w:p>
      <w:pPr>
        <w:rPr>
          <w:rFonts w:hint="default" w:ascii="Times New Roman" w:hAnsi="Times New Roman" w:eastAsia="仿宋_GB2312" w:cs="Times New Roman"/>
          <w:sz w:val="32"/>
          <w:szCs w:val="32"/>
          <w:lang w:val="en-US"/>
        </w:rPr>
      </w:pPr>
      <w:r>
        <w:rPr>
          <w:rFonts w:hint="eastAsia" w:ascii="Times New Roman" w:hAnsi="Times New Roman" w:eastAsia="方正黑体_GBK" w:cs="方正黑体_GBK"/>
          <w:bCs/>
          <w:color w:val="000000"/>
          <w:spacing w:val="-6"/>
          <w:sz w:val="32"/>
          <w:szCs w:val="32"/>
          <w:highlight w:val="none"/>
          <w:lang w:val="en-US" w:eastAsia="zh-CN"/>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71"/>
    <w:rsid w:val="00007303"/>
    <w:rsid w:val="000601A2"/>
    <w:rsid w:val="00104561"/>
    <w:rsid w:val="001441F4"/>
    <w:rsid w:val="001861F1"/>
    <w:rsid w:val="001E3F14"/>
    <w:rsid w:val="001F1C7D"/>
    <w:rsid w:val="0020736D"/>
    <w:rsid w:val="002568A7"/>
    <w:rsid w:val="00286D5A"/>
    <w:rsid w:val="002B76C4"/>
    <w:rsid w:val="003904A8"/>
    <w:rsid w:val="003B4B3A"/>
    <w:rsid w:val="003B7C02"/>
    <w:rsid w:val="00473C46"/>
    <w:rsid w:val="004E49E2"/>
    <w:rsid w:val="0051353C"/>
    <w:rsid w:val="00517B37"/>
    <w:rsid w:val="005644B9"/>
    <w:rsid w:val="005B105D"/>
    <w:rsid w:val="006011A9"/>
    <w:rsid w:val="00623D1A"/>
    <w:rsid w:val="00630BD8"/>
    <w:rsid w:val="00654F31"/>
    <w:rsid w:val="006D1191"/>
    <w:rsid w:val="006D4081"/>
    <w:rsid w:val="007504C3"/>
    <w:rsid w:val="007604E9"/>
    <w:rsid w:val="007C24B7"/>
    <w:rsid w:val="00822742"/>
    <w:rsid w:val="008305FB"/>
    <w:rsid w:val="00836F00"/>
    <w:rsid w:val="008D28A5"/>
    <w:rsid w:val="009A42F3"/>
    <w:rsid w:val="009B7015"/>
    <w:rsid w:val="009D4366"/>
    <w:rsid w:val="009F089F"/>
    <w:rsid w:val="00A6074F"/>
    <w:rsid w:val="00A935C0"/>
    <w:rsid w:val="00AB3265"/>
    <w:rsid w:val="00AD0B1D"/>
    <w:rsid w:val="00AF3EB9"/>
    <w:rsid w:val="00B12A8A"/>
    <w:rsid w:val="00B43467"/>
    <w:rsid w:val="00B45B8A"/>
    <w:rsid w:val="00B5197B"/>
    <w:rsid w:val="00B55DEB"/>
    <w:rsid w:val="00B66671"/>
    <w:rsid w:val="00BD3367"/>
    <w:rsid w:val="00C324EE"/>
    <w:rsid w:val="00C4141B"/>
    <w:rsid w:val="00CB117E"/>
    <w:rsid w:val="00D26420"/>
    <w:rsid w:val="00D9616F"/>
    <w:rsid w:val="00E5452B"/>
    <w:rsid w:val="00E73ABF"/>
    <w:rsid w:val="00E96255"/>
    <w:rsid w:val="00E966F7"/>
    <w:rsid w:val="00EA4C83"/>
    <w:rsid w:val="00F904AE"/>
    <w:rsid w:val="37FEE260"/>
    <w:rsid w:val="7ADF1D55"/>
    <w:rsid w:val="7B750779"/>
    <w:rsid w:val="7FF93CF4"/>
    <w:rsid w:val="C7FF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3 Char"/>
    <w:basedOn w:val="7"/>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289</Words>
  <Characters>1653</Characters>
  <Lines>13</Lines>
  <Paragraphs>3</Paragraphs>
  <TotalTime>1</TotalTime>
  <ScaleCrop>false</ScaleCrop>
  <LinksUpToDate>false</LinksUpToDate>
  <CharactersWithSpaces>1939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2021-09-19T09:12:00Z</dcterms:created>
  <dc:creator>lenovo</dc:creator>
  <cp:lastModifiedBy>greatwall</cp:lastModifiedBy>
  <cp:lastPrinted>2022-07-21T08:10:00Z</cp:lastPrinted>
  <dcterms:modified xsi:type="dcterms:W3CDTF">2023-08-30T16:00:13Z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