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A39" w:rsidRPr="006A2F6F" w:rsidRDefault="006A2F6F" w:rsidP="006A2F6F">
      <w:pPr>
        <w:rPr>
          <w:rFonts w:ascii="文星黑体" w:eastAsia="文星黑体" w:hAnsi="文星黑体"/>
          <w:sz w:val="32"/>
          <w:szCs w:val="32"/>
        </w:rPr>
      </w:pPr>
      <w:r w:rsidRPr="006A2F6F">
        <w:rPr>
          <w:rFonts w:ascii="文星黑体" w:eastAsia="文星黑体" w:hAnsi="文星黑体" w:hint="eastAsia"/>
          <w:sz w:val="32"/>
          <w:szCs w:val="32"/>
        </w:rPr>
        <w:t>附件</w:t>
      </w:r>
    </w:p>
    <w:p w:rsidR="00372A39" w:rsidRDefault="00372A39">
      <w:pPr>
        <w:pStyle w:val="1"/>
        <w:spacing w:before="0" w:after="0" w:line="360" w:lineRule="auto"/>
        <w:ind w:left="420"/>
        <w:jc w:val="center"/>
        <w:rPr>
          <w:rFonts w:ascii="黑体" w:eastAsia="黑体" w:hAnsi="黑体" w:cs="黑体"/>
          <w:szCs w:val="44"/>
        </w:rPr>
      </w:pPr>
    </w:p>
    <w:p w:rsidR="00170308" w:rsidRPr="009F3C25" w:rsidRDefault="00F54C2B" w:rsidP="009F3C25">
      <w:pPr>
        <w:pStyle w:val="1"/>
        <w:spacing w:before="0" w:after="0" w:line="360" w:lineRule="auto"/>
        <w:ind w:left="420"/>
        <w:jc w:val="center"/>
        <w:rPr>
          <w:rFonts w:eastAsia="文星标宋" w:cs="Times New Roman"/>
          <w:b w:val="0"/>
          <w:szCs w:val="44"/>
        </w:rPr>
      </w:pPr>
      <w:r w:rsidRPr="009F3C25">
        <w:rPr>
          <w:rFonts w:eastAsia="文星标宋" w:hAnsi="文星标宋" w:cs="Times New Roman"/>
          <w:b w:val="0"/>
          <w:szCs w:val="44"/>
        </w:rPr>
        <w:t>梅州市能源发展</w:t>
      </w:r>
      <w:r w:rsidRPr="009F3C25">
        <w:rPr>
          <w:rFonts w:eastAsia="文星标宋" w:cs="Times New Roman"/>
          <w:b w:val="0"/>
          <w:szCs w:val="44"/>
        </w:rPr>
        <w:t>“</w:t>
      </w:r>
      <w:r w:rsidRPr="009F3C25">
        <w:rPr>
          <w:rFonts w:eastAsia="文星标宋" w:hAnsi="文星标宋" w:cs="Times New Roman"/>
          <w:b w:val="0"/>
          <w:szCs w:val="44"/>
        </w:rPr>
        <w:t>十四五</w:t>
      </w:r>
      <w:r w:rsidRPr="009F3C25">
        <w:rPr>
          <w:rFonts w:eastAsia="文星标宋" w:cs="Times New Roman"/>
          <w:b w:val="0"/>
          <w:szCs w:val="44"/>
        </w:rPr>
        <w:t>”</w:t>
      </w:r>
      <w:r w:rsidRPr="009F3C25">
        <w:rPr>
          <w:rFonts w:eastAsia="文星标宋" w:hAnsi="文星标宋" w:cs="Times New Roman"/>
          <w:b w:val="0"/>
          <w:szCs w:val="44"/>
        </w:rPr>
        <w:t>规划（</w:t>
      </w:r>
      <w:r w:rsidRPr="009F3C25">
        <w:rPr>
          <w:rFonts w:eastAsia="文星标宋" w:cs="Times New Roman"/>
          <w:b w:val="0"/>
          <w:szCs w:val="44"/>
        </w:rPr>
        <w:t>2021-2025</w:t>
      </w:r>
      <w:r w:rsidRPr="009F3C25">
        <w:rPr>
          <w:rFonts w:eastAsia="文星标宋" w:hAnsi="文星标宋" w:cs="Times New Roman"/>
          <w:b w:val="0"/>
          <w:szCs w:val="44"/>
        </w:rPr>
        <w:t>）</w:t>
      </w:r>
    </w:p>
    <w:p w:rsidR="00372A39" w:rsidRPr="00170308" w:rsidRDefault="00F54C2B">
      <w:pPr>
        <w:widowControl/>
        <w:spacing w:line="600" w:lineRule="exact"/>
        <w:jc w:val="center"/>
        <w:rPr>
          <w:rFonts w:ascii="文星楷体" w:eastAsia="文星楷体" w:hAnsi="文星楷体" w:cs="楷体"/>
          <w:bCs/>
          <w:kern w:val="0"/>
          <w:sz w:val="32"/>
          <w:szCs w:val="32"/>
        </w:rPr>
      </w:pPr>
      <w:r w:rsidRPr="00170308">
        <w:rPr>
          <w:rFonts w:ascii="文星楷体" w:eastAsia="文星楷体" w:hAnsi="文星楷体" w:cs="楷体" w:hint="eastAsia"/>
          <w:bCs/>
          <w:kern w:val="0"/>
          <w:sz w:val="32"/>
          <w:szCs w:val="32"/>
        </w:rPr>
        <w:t>（</w:t>
      </w:r>
      <w:r w:rsidR="00170308" w:rsidRPr="00170308">
        <w:rPr>
          <w:rFonts w:ascii="文星楷体" w:eastAsia="文星楷体" w:hAnsi="文星楷体" w:cs="楷体" w:hint="eastAsia"/>
          <w:bCs/>
          <w:kern w:val="0"/>
          <w:sz w:val="32"/>
          <w:szCs w:val="32"/>
        </w:rPr>
        <w:t>征求意见</w:t>
      </w:r>
      <w:r w:rsidRPr="00170308">
        <w:rPr>
          <w:rFonts w:ascii="文星楷体" w:eastAsia="文星楷体" w:hAnsi="文星楷体" w:cs="楷体" w:hint="eastAsia"/>
          <w:bCs/>
          <w:kern w:val="0"/>
          <w:sz w:val="32"/>
          <w:szCs w:val="32"/>
        </w:rPr>
        <w:t>稿）</w:t>
      </w:r>
    </w:p>
    <w:p w:rsidR="00372A39" w:rsidRDefault="00372A39">
      <w:pPr>
        <w:widowControl/>
        <w:spacing w:line="600" w:lineRule="exact"/>
        <w:jc w:val="center"/>
        <w:rPr>
          <w:rFonts w:ascii="楷体" w:eastAsia="楷体" w:hAnsi="楷体" w:cs="楷体"/>
          <w:bCs/>
          <w:kern w:val="0"/>
        </w:rPr>
      </w:pPr>
    </w:p>
    <w:p w:rsidR="00372A39" w:rsidRDefault="00372A39">
      <w:pPr>
        <w:widowControl/>
        <w:spacing w:line="600" w:lineRule="exact"/>
        <w:jc w:val="center"/>
        <w:rPr>
          <w:rFonts w:ascii="楷体" w:eastAsia="楷体" w:hAnsi="楷体" w:cs="楷体"/>
          <w:bCs/>
          <w:kern w:val="0"/>
        </w:rPr>
      </w:pPr>
    </w:p>
    <w:p w:rsidR="00372A39" w:rsidRDefault="00372A39">
      <w:pPr>
        <w:widowControl/>
        <w:spacing w:line="600" w:lineRule="exact"/>
        <w:jc w:val="center"/>
        <w:rPr>
          <w:rFonts w:ascii="楷体" w:eastAsia="楷体" w:hAnsi="楷体" w:cs="楷体"/>
          <w:bCs/>
          <w:kern w:val="0"/>
        </w:rPr>
      </w:pPr>
    </w:p>
    <w:p w:rsidR="00372A39" w:rsidRDefault="00372A39">
      <w:pPr>
        <w:widowControl/>
        <w:spacing w:line="600" w:lineRule="exact"/>
        <w:jc w:val="center"/>
        <w:rPr>
          <w:rFonts w:ascii="楷体" w:eastAsia="楷体" w:hAnsi="楷体" w:cs="楷体"/>
          <w:bCs/>
          <w:kern w:val="0"/>
        </w:rPr>
      </w:pPr>
    </w:p>
    <w:p w:rsidR="00372A39" w:rsidRDefault="00372A39">
      <w:pPr>
        <w:widowControl/>
        <w:spacing w:line="600" w:lineRule="exact"/>
        <w:jc w:val="center"/>
        <w:rPr>
          <w:rFonts w:ascii="楷体" w:eastAsia="楷体" w:hAnsi="楷体" w:cs="楷体"/>
          <w:bCs/>
          <w:kern w:val="0"/>
        </w:rPr>
      </w:pPr>
    </w:p>
    <w:p w:rsidR="00372A39" w:rsidRDefault="00372A39">
      <w:pPr>
        <w:widowControl/>
        <w:spacing w:line="600" w:lineRule="exact"/>
        <w:jc w:val="center"/>
        <w:rPr>
          <w:rFonts w:ascii="楷体" w:eastAsia="楷体" w:hAnsi="楷体" w:cs="楷体"/>
          <w:bCs/>
          <w:kern w:val="0"/>
        </w:rPr>
      </w:pPr>
    </w:p>
    <w:p w:rsidR="00372A39" w:rsidRDefault="00372A39">
      <w:pPr>
        <w:widowControl/>
        <w:spacing w:line="600" w:lineRule="exact"/>
        <w:jc w:val="center"/>
        <w:rPr>
          <w:rFonts w:ascii="楷体" w:eastAsia="楷体" w:hAnsi="楷体" w:cs="楷体"/>
          <w:bCs/>
          <w:kern w:val="0"/>
        </w:rPr>
      </w:pPr>
    </w:p>
    <w:p w:rsidR="00372A39" w:rsidRDefault="00372A39">
      <w:pPr>
        <w:widowControl/>
        <w:spacing w:line="600" w:lineRule="exact"/>
        <w:jc w:val="center"/>
        <w:rPr>
          <w:rFonts w:ascii="楷体" w:eastAsia="楷体" w:hAnsi="楷体" w:cs="楷体"/>
          <w:bCs/>
          <w:kern w:val="0"/>
        </w:rPr>
      </w:pPr>
    </w:p>
    <w:p w:rsidR="00372A39" w:rsidRDefault="00372A39">
      <w:pPr>
        <w:widowControl/>
        <w:spacing w:line="600" w:lineRule="exact"/>
        <w:jc w:val="center"/>
        <w:rPr>
          <w:rFonts w:ascii="楷体" w:eastAsia="楷体" w:hAnsi="楷体" w:cs="楷体"/>
          <w:bCs/>
          <w:kern w:val="0"/>
        </w:rPr>
      </w:pPr>
    </w:p>
    <w:p w:rsidR="00372A39" w:rsidRDefault="00372A39">
      <w:pPr>
        <w:widowControl/>
        <w:spacing w:line="600" w:lineRule="exact"/>
        <w:jc w:val="center"/>
        <w:rPr>
          <w:rFonts w:ascii="楷体" w:eastAsia="楷体" w:hAnsi="楷体" w:cs="楷体"/>
          <w:bCs/>
          <w:kern w:val="0"/>
        </w:rPr>
      </w:pPr>
    </w:p>
    <w:p w:rsidR="00372A39" w:rsidRDefault="00372A39">
      <w:pPr>
        <w:widowControl/>
        <w:spacing w:line="600" w:lineRule="exact"/>
        <w:jc w:val="center"/>
        <w:rPr>
          <w:rFonts w:ascii="楷体" w:eastAsia="楷体" w:hAnsi="楷体" w:cs="楷体"/>
          <w:bCs/>
          <w:kern w:val="0"/>
        </w:rPr>
      </w:pPr>
    </w:p>
    <w:p w:rsidR="00372A39" w:rsidRDefault="00372A39">
      <w:pPr>
        <w:widowControl/>
        <w:spacing w:line="600" w:lineRule="exact"/>
        <w:jc w:val="center"/>
        <w:rPr>
          <w:rFonts w:ascii="楷体" w:eastAsia="楷体" w:hAnsi="楷体" w:cs="楷体"/>
          <w:bCs/>
          <w:kern w:val="0"/>
        </w:rPr>
      </w:pPr>
    </w:p>
    <w:p w:rsidR="00372A39" w:rsidRDefault="00372A39">
      <w:pPr>
        <w:widowControl/>
        <w:spacing w:line="600" w:lineRule="exact"/>
        <w:jc w:val="center"/>
        <w:rPr>
          <w:rFonts w:ascii="楷体" w:eastAsia="楷体" w:hAnsi="楷体" w:cs="楷体"/>
          <w:bCs/>
          <w:kern w:val="0"/>
        </w:rPr>
      </w:pPr>
    </w:p>
    <w:p w:rsidR="00372A39" w:rsidRDefault="00372A39">
      <w:pPr>
        <w:widowControl/>
        <w:spacing w:line="600" w:lineRule="exact"/>
        <w:jc w:val="center"/>
        <w:rPr>
          <w:rFonts w:ascii="楷体" w:eastAsia="楷体" w:hAnsi="楷体" w:cs="楷体"/>
          <w:bCs/>
          <w:kern w:val="0"/>
        </w:rPr>
      </w:pPr>
    </w:p>
    <w:p w:rsidR="00372A39" w:rsidRDefault="00F54C2B">
      <w:pPr>
        <w:jc w:val="center"/>
        <w:rPr>
          <w:rFonts w:eastAsia="楷体_GB2312"/>
          <w:sz w:val="36"/>
          <w:szCs w:val="36"/>
        </w:rPr>
        <w:sectPr w:rsidR="00372A39">
          <w:footerReference w:type="default" r:id="rId8"/>
          <w:pgSz w:w="11906" w:h="16838"/>
          <w:pgMar w:top="1440" w:right="1800" w:bottom="1440" w:left="1800" w:header="851" w:footer="992" w:gutter="0"/>
          <w:pgNumType w:fmt="upperRoman"/>
          <w:cols w:space="425"/>
          <w:docGrid w:type="lines" w:linePitch="312"/>
        </w:sectPr>
      </w:pPr>
      <w:r>
        <w:rPr>
          <w:rFonts w:eastAsia="楷体_GB2312"/>
          <w:sz w:val="36"/>
          <w:szCs w:val="36"/>
        </w:rPr>
        <w:t>二</w:t>
      </w:r>
      <w:r>
        <w:rPr>
          <w:sz w:val="36"/>
          <w:szCs w:val="36"/>
        </w:rPr>
        <w:t>〇</w:t>
      </w:r>
      <w:r>
        <w:rPr>
          <w:rFonts w:eastAsia="楷体_GB2312"/>
          <w:sz w:val="36"/>
          <w:szCs w:val="36"/>
        </w:rPr>
        <w:t>二</w:t>
      </w:r>
      <w:r>
        <w:rPr>
          <w:rFonts w:eastAsia="楷体_GB2312" w:hint="eastAsia"/>
          <w:sz w:val="36"/>
          <w:szCs w:val="36"/>
        </w:rPr>
        <w:t>一</w:t>
      </w:r>
      <w:r>
        <w:rPr>
          <w:rFonts w:eastAsia="楷体_GB2312"/>
          <w:sz w:val="36"/>
          <w:szCs w:val="36"/>
        </w:rPr>
        <w:t>年</w:t>
      </w:r>
      <w:r>
        <w:rPr>
          <w:rFonts w:eastAsia="楷体_GB2312" w:hint="eastAsia"/>
          <w:sz w:val="36"/>
          <w:szCs w:val="36"/>
        </w:rPr>
        <w:t>三</w:t>
      </w:r>
      <w:r>
        <w:rPr>
          <w:rFonts w:eastAsia="楷体_GB2312"/>
          <w:sz w:val="36"/>
          <w:szCs w:val="36"/>
        </w:rPr>
        <w:t>月</w:t>
      </w:r>
    </w:p>
    <w:bookmarkStart w:id="0" w:name="_Toc1159_WPSOffice_Type2" w:displacedByCustomXml="next"/>
    <w:sdt>
      <w:sdtPr>
        <w:rPr>
          <w:rFonts w:ascii="宋体" w:eastAsia="宋体" w:hAnsi="宋体" w:cs="Times New Roman"/>
          <w:kern w:val="0"/>
          <w:sz w:val="21"/>
          <w:szCs w:val="20"/>
        </w:rPr>
        <w:id w:val="442036598"/>
        <w:docPartObj>
          <w:docPartGallery w:val="Table of Contents"/>
          <w:docPartUnique/>
        </w:docPartObj>
      </w:sdtPr>
      <w:sdtEndPr>
        <w:rPr>
          <w:rFonts w:ascii="Times New Roman" w:hAnsi="Times New Roman"/>
          <w:b/>
          <w:bCs/>
          <w:sz w:val="20"/>
        </w:rPr>
      </w:sdtEndPr>
      <w:sdtContent>
        <w:p w:rsidR="00372A39" w:rsidRDefault="00F54C2B">
          <w:pPr>
            <w:jc w:val="center"/>
            <w:rPr>
              <w:rFonts w:ascii="仿宋" w:eastAsia="黑体" w:hAnsi="仿宋"/>
              <w:b/>
              <w:bCs/>
              <w:sz w:val="36"/>
              <w:szCs w:val="36"/>
            </w:rPr>
          </w:pPr>
          <w:r>
            <w:rPr>
              <w:rFonts w:ascii="仿宋" w:eastAsia="黑体" w:hAnsi="仿宋" w:hint="eastAsia"/>
              <w:b/>
              <w:bCs/>
              <w:sz w:val="36"/>
              <w:szCs w:val="36"/>
            </w:rPr>
            <w:t>目录</w:t>
          </w:r>
        </w:p>
        <w:p w:rsidR="00372A39" w:rsidRDefault="00F26EF1">
          <w:pPr>
            <w:pStyle w:val="WPSOffice1"/>
            <w:tabs>
              <w:tab w:val="right" w:leader="dot" w:pos="8306"/>
            </w:tabs>
          </w:pPr>
          <w:hyperlink w:anchor="_Toc14919_WPSOffice_Level1" w:history="1">
            <w:sdt>
              <w:sdtPr>
                <w:rPr>
                  <w:rFonts w:eastAsia="仿宋" w:cs="仿宋"/>
                  <w:b/>
                  <w:bCs/>
                  <w:kern w:val="2"/>
                  <w:sz w:val="28"/>
                  <w:szCs w:val="28"/>
                </w:rPr>
                <w:id w:val="147480923"/>
                <w:placeholder>
                  <w:docPart w:val="{9f888939-a32e-416b-a419-888385c50406}"/>
                </w:placeholder>
              </w:sdtPr>
              <w:sdtContent>
                <w:r w:rsidR="00F54C2B">
                  <w:rPr>
                    <w:rFonts w:eastAsia="黑体" w:cs="仿宋" w:hint="eastAsia"/>
                    <w:b/>
                    <w:bCs/>
                  </w:rPr>
                  <w:t>第一章</w:t>
                </w:r>
                <w:r w:rsidR="00F54C2B">
                  <w:rPr>
                    <w:rFonts w:eastAsia="黑体" w:cs="仿宋" w:hint="eastAsia"/>
                    <w:b/>
                    <w:bCs/>
                  </w:rPr>
                  <w:t xml:space="preserve"> </w:t>
                </w:r>
                <w:r w:rsidR="00F54C2B">
                  <w:rPr>
                    <w:rFonts w:eastAsia="黑体" w:cs="仿宋" w:hint="eastAsia"/>
                    <w:b/>
                    <w:bCs/>
                  </w:rPr>
                  <w:t>发展基础</w:t>
                </w:r>
              </w:sdtContent>
            </w:sdt>
            <w:r w:rsidR="00F54C2B">
              <w:rPr>
                <w:b/>
                <w:bCs/>
              </w:rPr>
              <w:tab/>
            </w:r>
            <w:bookmarkStart w:id="1" w:name="_Toc14919_WPSOffice_Level1Page"/>
            <w:r w:rsidR="00F54C2B">
              <w:rPr>
                <w:b/>
                <w:bCs/>
              </w:rPr>
              <w:t>1</w:t>
            </w:r>
            <w:bookmarkEnd w:id="1"/>
          </w:hyperlink>
        </w:p>
        <w:p w:rsidR="00372A39" w:rsidRDefault="00F26EF1">
          <w:pPr>
            <w:pStyle w:val="WPSOffice2"/>
            <w:tabs>
              <w:tab w:val="right" w:leader="dot" w:pos="8306"/>
            </w:tabs>
            <w:ind w:left="560"/>
          </w:pPr>
          <w:hyperlink w:anchor="_Toc1159_WPSOffice_Level2" w:history="1">
            <w:sdt>
              <w:sdtPr>
                <w:rPr>
                  <w:rFonts w:eastAsia="仿宋" w:cs="仿宋"/>
                  <w:kern w:val="2"/>
                  <w:sz w:val="28"/>
                  <w:szCs w:val="28"/>
                </w:rPr>
                <w:id w:val="-1967954542"/>
                <w:placeholder>
                  <w:docPart w:val="{fdc7999e-92b1-4cf3-8df6-8337eb13729d}"/>
                </w:placeholder>
              </w:sdtPr>
              <w:sdtContent>
                <w:r w:rsidR="00F54C2B">
                  <w:rPr>
                    <w:rFonts w:eastAsia="黑体" w:cs="黑体" w:hint="eastAsia"/>
                  </w:rPr>
                  <w:t>第一节</w:t>
                </w:r>
                <w:r w:rsidR="00F54C2B">
                  <w:rPr>
                    <w:rFonts w:eastAsia="黑体" w:cs="黑体" w:hint="eastAsia"/>
                  </w:rPr>
                  <w:t xml:space="preserve"> </w:t>
                </w:r>
                <w:r w:rsidR="00F54C2B">
                  <w:rPr>
                    <w:rFonts w:eastAsia="黑体" w:cs="黑体" w:hint="eastAsia"/>
                  </w:rPr>
                  <w:t>发展现状</w:t>
                </w:r>
              </w:sdtContent>
            </w:sdt>
            <w:r w:rsidR="00F54C2B">
              <w:tab/>
            </w:r>
            <w:bookmarkStart w:id="2" w:name="_Toc1159_WPSOffice_Level2Page"/>
            <w:r w:rsidR="00F54C2B">
              <w:t>1</w:t>
            </w:r>
            <w:bookmarkEnd w:id="2"/>
          </w:hyperlink>
        </w:p>
        <w:p w:rsidR="00372A39" w:rsidRDefault="00F26EF1">
          <w:pPr>
            <w:pStyle w:val="WPSOffice2"/>
            <w:tabs>
              <w:tab w:val="right" w:leader="dot" w:pos="8306"/>
            </w:tabs>
            <w:ind w:left="560"/>
          </w:pPr>
          <w:hyperlink w:anchor="_Toc32293_WPSOffice_Level2" w:history="1">
            <w:sdt>
              <w:sdtPr>
                <w:rPr>
                  <w:rFonts w:eastAsia="仿宋" w:cs="仿宋"/>
                  <w:kern w:val="2"/>
                  <w:sz w:val="28"/>
                  <w:szCs w:val="28"/>
                </w:rPr>
                <w:id w:val="250082679"/>
                <w:placeholder>
                  <w:docPart w:val="{2ee3749c-8ba4-4ff2-80ef-d18d4b61b3bc}"/>
                </w:placeholder>
              </w:sdtPr>
              <w:sdtContent>
                <w:r w:rsidR="00F54C2B">
                  <w:rPr>
                    <w:rFonts w:eastAsia="黑体" w:cs="黑体" w:hint="eastAsia"/>
                  </w:rPr>
                  <w:t>第二节存在不足</w:t>
                </w:r>
              </w:sdtContent>
            </w:sdt>
            <w:r w:rsidR="00F54C2B">
              <w:tab/>
            </w:r>
            <w:bookmarkStart w:id="3" w:name="_Toc32293_WPSOffice_Level2Page"/>
            <w:r w:rsidR="00F54C2B">
              <w:t>4</w:t>
            </w:r>
            <w:bookmarkEnd w:id="3"/>
          </w:hyperlink>
        </w:p>
        <w:p w:rsidR="00372A39" w:rsidRDefault="00F26EF1">
          <w:pPr>
            <w:pStyle w:val="WPSOffice2"/>
            <w:tabs>
              <w:tab w:val="right" w:leader="dot" w:pos="8306"/>
            </w:tabs>
            <w:ind w:left="560"/>
          </w:pPr>
          <w:hyperlink w:anchor="_Toc7525_WPSOffice_Level2" w:history="1">
            <w:sdt>
              <w:sdtPr>
                <w:rPr>
                  <w:rFonts w:eastAsia="仿宋" w:cs="仿宋"/>
                  <w:kern w:val="2"/>
                  <w:sz w:val="28"/>
                  <w:szCs w:val="28"/>
                </w:rPr>
                <w:id w:val="1878356539"/>
                <w:placeholder>
                  <w:docPart w:val="{34c785fa-c12c-4b4e-b9ff-b534f8d08ee5}"/>
                </w:placeholder>
              </w:sdtPr>
              <w:sdtContent>
                <w:r w:rsidR="00F54C2B">
                  <w:rPr>
                    <w:rFonts w:eastAsia="黑体" w:cs="黑体" w:hint="eastAsia"/>
                  </w:rPr>
                  <w:t>第三节面临形势</w:t>
                </w:r>
              </w:sdtContent>
            </w:sdt>
            <w:r w:rsidR="00F54C2B">
              <w:tab/>
            </w:r>
            <w:bookmarkStart w:id="4" w:name="_Toc7525_WPSOffice_Level2Page"/>
            <w:r w:rsidR="00F54C2B">
              <w:t>5</w:t>
            </w:r>
            <w:bookmarkEnd w:id="4"/>
          </w:hyperlink>
        </w:p>
        <w:p w:rsidR="00372A39" w:rsidRDefault="00F26EF1">
          <w:pPr>
            <w:pStyle w:val="WPSOffice1"/>
            <w:tabs>
              <w:tab w:val="right" w:leader="dot" w:pos="8306"/>
            </w:tabs>
          </w:pPr>
          <w:hyperlink w:anchor="_Toc1159_WPSOffice_Level1" w:history="1">
            <w:sdt>
              <w:sdtPr>
                <w:rPr>
                  <w:rFonts w:eastAsia="仿宋" w:cs="仿宋"/>
                  <w:b/>
                  <w:bCs/>
                  <w:kern w:val="2"/>
                  <w:sz w:val="28"/>
                  <w:szCs w:val="28"/>
                </w:rPr>
                <w:id w:val="-117221407"/>
                <w:placeholder>
                  <w:docPart w:val="{cd328fab-0a99-4ffc-8995-589a2cef0492}"/>
                </w:placeholder>
              </w:sdtPr>
              <w:sdtContent>
                <w:r w:rsidR="00F54C2B">
                  <w:rPr>
                    <w:rFonts w:eastAsia="黑体" w:cs="仿宋" w:hint="eastAsia"/>
                    <w:b/>
                    <w:bCs/>
                  </w:rPr>
                  <w:t>第二章</w:t>
                </w:r>
                <w:r w:rsidR="00F54C2B">
                  <w:rPr>
                    <w:rFonts w:eastAsia="黑体" w:cs="仿宋" w:hint="eastAsia"/>
                    <w:b/>
                    <w:bCs/>
                  </w:rPr>
                  <w:t xml:space="preserve"> </w:t>
                </w:r>
                <w:r w:rsidR="00F54C2B">
                  <w:rPr>
                    <w:rFonts w:eastAsia="黑体" w:cs="仿宋" w:hint="eastAsia"/>
                    <w:b/>
                    <w:bCs/>
                  </w:rPr>
                  <w:t>总体要求和发展目标</w:t>
                </w:r>
              </w:sdtContent>
            </w:sdt>
            <w:r w:rsidR="00F54C2B">
              <w:rPr>
                <w:b/>
                <w:bCs/>
              </w:rPr>
              <w:tab/>
            </w:r>
            <w:bookmarkStart w:id="5" w:name="_Toc1159_WPSOffice_Level1Page"/>
            <w:r w:rsidR="00F54C2B">
              <w:rPr>
                <w:b/>
                <w:bCs/>
              </w:rPr>
              <w:t>8</w:t>
            </w:r>
            <w:bookmarkEnd w:id="5"/>
          </w:hyperlink>
        </w:p>
        <w:p w:rsidR="00372A39" w:rsidRDefault="00F26EF1">
          <w:pPr>
            <w:pStyle w:val="WPSOffice2"/>
            <w:tabs>
              <w:tab w:val="right" w:leader="dot" w:pos="8306"/>
            </w:tabs>
            <w:ind w:left="560"/>
          </w:pPr>
          <w:hyperlink w:anchor="_Toc5516_WPSOffice_Level2" w:history="1">
            <w:sdt>
              <w:sdtPr>
                <w:rPr>
                  <w:rFonts w:eastAsia="仿宋" w:cs="仿宋"/>
                  <w:kern w:val="2"/>
                  <w:sz w:val="28"/>
                  <w:szCs w:val="28"/>
                </w:rPr>
                <w:id w:val="159592675"/>
                <w:placeholder>
                  <w:docPart w:val="{318459a0-cd79-414c-ade5-9e8688be2c48}"/>
                </w:placeholder>
              </w:sdtPr>
              <w:sdtContent>
                <w:r w:rsidR="00F54C2B">
                  <w:rPr>
                    <w:rFonts w:eastAsia="黑体" w:cs="黑体" w:hint="eastAsia"/>
                  </w:rPr>
                  <w:t>第一节</w:t>
                </w:r>
                <w:r w:rsidR="00F54C2B">
                  <w:rPr>
                    <w:rFonts w:eastAsia="黑体" w:cs="黑体" w:hint="eastAsia"/>
                  </w:rPr>
                  <w:t xml:space="preserve"> </w:t>
                </w:r>
                <w:r w:rsidR="00F54C2B">
                  <w:rPr>
                    <w:rFonts w:eastAsia="黑体" w:cs="黑体" w:hint="eastAsia"/>
                  </w:rPr>
                  <w:t>指导思想</w:t>
                </w:r>
              </w:sdtContent>
            </w:sdt>
            <w:r w:rsidR="00F54C2B">
              <w:tab/>
            </w:r>
            <w:bookmarkStart w:id="6" w:name="_Toc5516_WPSOffice_Level2Page"/>
            <w:r w:rsidR="00F54C2B">
              <w:t>8</w:t>
            </w:r>
            <w:bookmarkEnd w:id="6"/>
          </w:hyperlink>
        </w:p>
        <w:p w:rsidR="00372A39" w:rsidRDefault="00F26EF1">
          <w:pPr>
            <w:pStyle w:val="WPSOffice2"/>
            <w:tabs>
              <w:tab w:val="right" w:leader="dot" w:pos="8306"/>
            </w:tabs>
            <w:ind w:left="560"/>
          </w:pPr>
          <w:hyperlink w:anchor="_Toc31959_WPSOffice_Level2" w:history="1">
            <w:sdt>
              <w:sdtPr>
                <w:rPr>
                  <w:rFonts w:eastAsia="仿宋" w:cs="仿宋"/>
                  <w:kern w:val="2"/>
                  <w:sz w:val="28"/>
                  <w:szCs w:val="28"/>
                </w:rPr>
                <w:id w:val="-761993176"/>
                <w:placeholder>
                  <w:docPart w:val="{5b036439-67ec-46dc-bd4b-f409df54ba86}"/>
                </w:placeholder>
              </w:sdtPr>
              <w:sdtContent>
                <w:r w:rsidR="00F54C2B">
                  <w:rPr>
                    <w:rFonts w:eastAsia="黑体" w:cs="黑体" w:hint="eastAsia"/>
                  </w:rPr>
                  <w:t>第二节</w:t>
                </w:r>
                <w:r w:rsidR="00F54C2B">
                  <w:rPr>
                    <w:rFonts w:eastAsia="黑体" w:cs="黑体" w:hint="eastAsia"/>
                  </w:rPr>
                  <w:t xml:space="preserve"> </w:t>
                </w:r>
                <w:r w:rsidR="00F54C2B">
                  <w:rPr>
                    <w:rFonts w:eastAsia="黑体" w:cs="黑体" w:hint="eastAsia"/>
                  </w:rPr>
                  <w:t>能源需求预测</w:t>
                </w:r>
              </w:sdtContent>
            </w:sdt>
            <w:r w:rsidR="00F54C2B">
              <w:tab/>
            </w:r>
            <w:bookmarkStart w:id="7" w:name="_Toc31959_WPSOffice_Level2Page"/>
            <w:r w:rsidR="00F54C2B">
              <w:t>8</w:t>
            </w:r>
            <w:bookmarkEnd w:id="7"/>
          </w:hyperlink>
        </w:p>
        <w:p w:rsidR="00372A39" w:rsidRDefault="00F26EF1">
          <w:pPr>
            <w:pStyle w:val="WPSOffice2"/>
            <w:tabs>
              <w:tab w:val="right" w:leader="dot" w:pos="8306"/>
            </w:tabs>
            <w:ind w:left="560"/>
          </w:pPr>
          <w:hyperlink w:anchor="_Toc9064_WPSOffice_Level2" w:history="1">
            <w:sdt>
              <w:sdtPr>
                <w:rPr>
                  <w:rFonts w:eastAsia="仿宋" w:cs="仿宋"/>
                  <w:kern w:val="2"/>
                  <w:sz w:val="28"/>
                  <w:szCs w:val="28"/>
                </w:rPr>
                <w:id w:val="1197746973"/>
                <w:placeholder>
                  <w:docPart w:val="{1a1cbe7c-0be1-4020-bb67-d3ca25c11748}"/>
                </w:placeholder>
              </w:sdtPr>
              <w:sdtContent>
                <w:r w:rsidR="00F54C2B">
                  <w:rPr>
                    <w:rFonts w:eastAsia="黑体" w:cs="黑体" w:hint="eastAsia"/>
                  </w:rPr>
                  <w:t>第三节</w:t>
                </w:r>
                <w:r w:rsidR="00F54C2B">
                  <w:rPr>
                    <w:rFonts w:eastAsia="黑体" w:cs="黑体" w:hint="eastAsia"/>
                  </w:rPr>
                  <w:t xml:space="preserve"> </w:t>
                </w:r>
                <w:r w:rsidR="00F54C2B">
                  <w:rPr>
                    <w:rFonts w:eastAsia="黑体" w:cs="黑体" w:hint="eastAsia"/>
                  </w:rPr>
                  <w:t>基本原则</w:t>
                </w:r>
              </w:sdtContent>
            </w:sdt>
            <w:r w:rsidR="00F54C2B">
              <w:tab/>
            </w:r>
            <w:bookmarkStart w:id="8" w:name="_Toc9064_WPSOffice_Level2Page"/>
            <w:r w:rsidR="00F54C2B">
              <w:t>10</w:t>
            </w:r>
            <w:bookmarkEnd w:id="8"/>
          </w:hyperlink>
        </w:p>
        <w:p w:rsidR="00372A39" w:rsidRDefault="00F26EF1">
          <w:pPr>
            <w:pStyle w:val="WPSOffice2"/>
            <w:tabs>
              <w:tab w:val="right" w:leader="dot" w:pos="8306"/>
            </w:tabs>
            <w:ind w:left="560"/>
          </w:pPr>
          <w:hyperlink w:anchor="_Toc30541_WPSOffice_Level2" w:history="1">
            <w:sdt>
              <w:sdtPr>
                <w:rPr>
                  <w:rFonts w:eastAsia="仿宋" w:cs="仿宋"/>
                  <w:kern w:val="2"/>
                  <w:sz w:val="28"/>
                  <w:szCs w:val="28"/>
                </w:rPr>
                <w:id w:val="-151903544"/>
                <w:placeholder>
                  <w:docPart w:val="{053313f9-859d-4092-b249-497881822df6}"/>
                </w:placeholder>
              </w:sdtPr>
              <w:sdtContent>
                <w:r w:rsidR="00F54C2B">
                  <w:rPr>
                    <w:rFonts w:eastAsia="黑体" w:cs="黑体" w:hint="eastAsia"/>
                  </w:rPr>
                  <w:t>第四节</w:t>
                </w:r>
                <w:r w:rsidR="00F54C2B">
                  <w:rPr>
                    <w:rFonts w:eastAsia="黑体" w:cs="黑体" w:hint="eastAsia"/>
                  </w:rPr>
                  <w:t xml:space="preserve"> </w:t>
                </w:r>
                <w:r w:rsidR="00F54C2B">
                  <w:rPr>
                    <w:rFonts w:eastAsia="黑体" w:cs="黑体" w:hint="eastAsia"/>
                  </w:rPr>
                  <w:t>发展目标</w:t>
                </w:r>
              </w:sdtContent>
            </w:sdt>
            <w:r w:rsidR="00F54C2B">
              <w:tab/>
            </w:r>
            <w:bookmarkStart w:id="9" w:name="_Toc30541_WPSOffice_Level2Page"/>
            <w:r w:rsidR="00F54C2B">
              <w:t>11</w:t>
            </w:r>
            <w:bookmarkEnd w:id="9"/>
          </w:hyperlink>
        </w:p>
        <w:p w:rsidR="00372A39" w:rsidRDefault="00F26EF1">
          <w:pPr>
            <w:pStyle w:val="WPSOffice1"/>
            <w:tabs>
              <w:tab w:val="right" w:leader="dot" w:pos="8306"/>
            </w:tabs>
          </w:pPr>
          <w:hyperlink w:anchor="_Toc32293_WPSOffice_Level1" w:history="1">
            <w:sdt>
              <w:sdtPr>
                <w:rPr>
                  <w:rFonts w:eastAsia="仿宋" w:cs="仿宋"/>
                  <w:b/>
                  <w:bCs/>
                  <w:kern w:val="2"/>
                  <w:sz w:val="28"/>
                  <w:szCs w:val="28"/>
                </w:rPr>
                <w:id w:val="-874002486"/>
                <w:placeholder>
                  <w:docPart w:val="{cb3815c8-e40d-4a3e-aba6-db9d248cf617}"/>
                </w:placeholder>
              </w:sdtPr>
              <w:sdtContent>
                <w:r w:rsidR="00F54C2B">
                  <w:rPr>
                    <w:rFonts w:eastAsia="黑体" w:cs="仿宋" w:hint="eastAsia"/>
                    <w:b/>
                    <w:bCs/>
                  </w:rPr>
                  <w:t>第三章</w:t>
                </w:r>
                <w:r w:rsidR="00F54C2B">
                  <w:rPr>
                    <w:rFonts w:eastAsia="黑体" w:cs="仿宋" w:hint="eastAsia"/>
                    <w:b/>
                    <w:bCs/>
                  </w:rPr>
                  <w:t xml:space="preserve"> </w:t>
                </w:r>
                <w:r w:rsidR="00F54C2B">
                  <w:rPr>
                    <w:rFonts w:eastAsia="黑体" w:cs="仿宋" w:hint="eastAsia"/>
                    <w:b/>
                    <w:bCs/>
                  </w:rPr>
                  <w:t>重点任务</w:t>
                </w:r>
              </w:sdtContent>
            </w:sdt>
            <w:r w:rsidR="00F54C2B">
              <w:rPr>
                <w:b/>
                <w:bCs/>
              </w:rPr>
              <w:tab/>
            </w:r>
            <w:bookmarkStart w:id="10" w:name="_Toc32293_WPSOffice_Level1Page"/>
            <w:r w:rsidR="00F54C2B">
              <w:rPr>
                <w:b/>
                <w:bCs/>
              </w:rPr>
              <w:t>13</w:t>
            </w:r>
            <w:bookmarkEnd w:id="10"/>
          </w:hyperlink>
        </w:p>
        <w:p w:rsidR="00372A39" w:rsidRDefault="00F26EF1">
          <w:pPr>
            <w:pStyle w:val="WPSOffice2"/>
            <w:tabs>
              <w:tab w:val="right" w:leader="dot" w:pos="8306"/>
            </w:tabs>
            <w:ind w:left="560"/>
          </w:pPr>
          <w:hyperlink w:anchor="_Toc19971_WPSOffice_Level2" w:history="1">
            <w:sdt>
              <w:sdtPr>
                <w:rPr>
                  <w:rFonts w:eastAsia="仿宋" w:cs="仿宋"/>
                  <w:kern w:val="2"/>
                  <w:sz w:val="28"/>
                  <w:szCs w:val="28"/>
                </w:rPr>
                <w:id w:val="1450973131"/>
                <w:placeholder>
                  <w:docPart w:val="{6163c76a-5522-484b-b4ee-636dbf0f2573}"/>
                </w:placeholder>
              </w:sdtPr>
              <w:sdtContent>
                <w:r w:rsidR="00F54C2B">
                  <w:rPr>
                    <w:rFonts w:eastAsia="黑体" w:cs="黑体" w:hint="eastAsia"/>
                  </w:rPr>
                  <w:t>第一节</w:t>
                </w:r>
                <w:r w:rsidR="00F54C2B">
                  <w:rPr>
                    <w:rFonts w:eastAsia="黑体" w:cs="黑体" w:hint="eastAsia"/>
                  </w:rPr>
                  <w:t xml:space="preserve"> </w:t>
                </w:r>
                <w:r w:rsidR="00F54C2B">
                  <w:rPr>
                    <w:rFonts w:eastAsia="黑体" w:cs="黑体" w:hint="eastAsia"/>
                  </w:rPr>
                  <w:t>大力推动能源清洁低碳发展</w:t>
                </w:r>
              </w:sdtContent>
            </w:sdt>
            <w:r w:rsidR="00F54C2B">
              <w:tab/>
            </w:r>
            <w:bookmarkStart w:id="11" w:name="_Toc19971_WPSOffice_Level2Page"/>
            <w:r w:rsidR="00F54C2B">
              <w:t>13</w:t>
            </w:r>
            <w:bookmarkEnd w:id="11"/>
          </w:hyperlink>
        </w:p>
        <w:p w:rsidR="00372A39" w:rsidRDefault="00F26EF1">
          <w:pPr>
            <w:pStyle w:val="WPSOffice2"/>
            <w:tabs>
              <w:tab w:val="right" w:leader="dot" w:pos="8306"/>
            </w:tabs>
            <w:ind w:left="560"/>
          </w:pPr>
          <w:hyperlink w:anchor="_Toc5917_WPSOffice_Level2" w:history="1">
            <w:sdt>
              <w:sdtPr>
                <w:rPr>
                  <w:rFonts w:eastAsia="仿宋" w:cs="仿宋"/>
                  <w:kern w:val="2"/>
                  <w:sz w:val="28"/>
                  <w:szCs w:val="28"/>
                </w:rPr>
                <w:id w:val="-1932038870"/>
                <w:placeholder>
                  <w:docPart w:val="{4f0b7461-69b8-40e8-9721-386f46db37b4}"/>
                </w:placeholder>
              </w:sdtPr>
              <w:sdtContent>
                <w:r w:rsidR="00F54C2B">
                  <w:rPr>
                    <w:rFonts w:eastAsia="黑体" w:cs="黑体" w:hint="eastAsia"/>
                  </w:rPr>
                  <w:t>第二节</w:t>
                </w:r>
                <w:r w:rsidR="00F54C2B">
                  <w:rPr>
                    <w:rFonts w:eastAsia="黑体" w:cs="黑体" w:hint="eastAsia"/>
                  </w:rPr>
                  <w:t xml:space="preserve"> </w:t>
                </w:r>
                <w:r w:rsidR="00F54C2B">
                  <w:rPr>
                    <w:rFonts w:eastAsia="黑体" w:cs="黑体" w:hint="eastAsia"/>
                  </w:rPr>
                  <w:t>完善能源运储销体系</w:t>
                </w:r>
              </w:sdtContent>
            </w:sdt>
            <w:r w:rsidR="00F54C2B">
              <w:tab/>
            </w:r>
            <w:bookmarkStart w:id="12" w:name="_Toc5917_WPSOffice_Level2Page"/>
            <w:r w:rsidR="00F54C2B">
              <w:t>15</w:t>
            </w:r>
            <w:bookmarkEnd w:id="12"/>
          </w:hyperlink>
        </w:p>
        <w:p w:rsidR="00372A39" w:rsidRDefault="00F26EF1">
          <w:pPr>
            <w:pStyle w:val="WPSOffice2"/>
            <w:tabs>
              <w:tab w:val="right" w:leader="dot" w:pos="8306"/>
            </w:tabs>
            <w:ind w:left="560"/>
          </w:pPr>
          <w:hyperlink w:anchor="_Toc18122_WPSOffice_Level2" w:history="1">
            <w:sdt>
              <w:sdtPr>
                <w:rPr>
                  <w:rFonts w:eastAsia="仿宋" w:cs="仿宋"/>
                  <w:kern w:val="2"/>
                  <w:sz w:val="28"/>
                  <w:szCs w:val="28"/>
                </w:rPr>
                <w:id w:val="557524570"/>
                <w:placeholder>
                  <w:docPart w:val="{4a0cbbc8-1e1b-43cc-b561-4e9ddc615ba7}"/>
                </w:placeholder>
              </w:sdtPr>
              <w:sdtContent>
                <w:r w:rsidR="00F54C2B">
                  <w:rPr>
                    <w:rFonts w:eastAsia="黑体" w:cs="黑体" w:hint="eastAsia"/>
                  </w:rPr>
                  <w:t>第三节</w:t>
                </w:r>
                <w:r w:rsidR="00F54C2B">
                  <w:rPr>
                    <w:rFonts w:eastAsia="黑体" w:cs="黑体" w:hint="eastAsia"/>
                  </w:rPr>
                  <w:t xml:space="preserve"> </w:t>
                </w:r>
                <w:r w:rsidR="00F54C2B">
                  <w:rPr>
                    <w:rFonts w:eastAsia="黑体" w:cs="黑体" w:hint="eastAsia"/>
                  </w:rPr>
                  <w:t>推动能源绿色高效利用</w:t>
                </w:r>
              </w:sdtContent>
            </w:sdt>
            <w:r w:rsidR="00F54C2B">
              <w:tab/>
            </w:r>
            <w:bookmarkStart w:id="13" w:name="_Toc18122_WPSOffice_Level2Page"/>
            <w:r w:rsidR="00F54C2B">
              <w:t>17</w:t>
            </w:r>
            <w:bookmarkEnd w:id="13"/>
          </w:hyperlink>
        </w:p>
        <w:p w:rsidR="00372A39" w:rsidRDefault="00F26EF1">
          <w:pPr>
            <w:pStyle w:val="WPSOffice2"/>
            <w:tabs>
              <w:tab w:val="right" w:leader="dot" w:pos="8306"/>
            </w:tabs>
            <w:ind w:left="560"/>
          </w:pPr>
          <w:hyperlink w:anchor="_Toc32456_WPSOffice_Level2" w:history="1">
            <w:sdt>
              <w:sdtPr>
                <w:rPr>
                  <w:rFonts w:eastAsia="仿宋" w:cs="仿宋"/>
                  <w:kern w:val="2"/>
                  <w:sz w:val="28"/>
                  <w:szCs w:val="28"/>
                </w:rPr>
                <w:id w:val="402421332"/>
                <w:placeholder>
                  <w:docPart w:val="{1117f559-0475-42ae-841b-e12f02ddfbca}"/>
                </w:placeholder>
              </w:sdtPr>
              <w:sdtContent>
                <w:r w:rsidR="00F54C2B">
                  <w:rPr>
                    <w:rFonts w:eastAsia="黑体" w:cs="黑体" w:hint="eastAsia"/>
                  </w:rPr>
                  <w:t>第四节</w:t>
                </w:r>
                <w:r w:rsidR="00F54C2B">
                  <w:rPr>
                    <w:rFonts w:eastAsia="黑体" w:cs="黑体" w:hint="eastAsia"/>
                  </w:rPr>
                  <w:t xml:space="preserve"> </w:t>
                </w:r>
                <w:r w:rsidR="00F54C2B">
                  <w:rPr>
                    <w:rFonts w:eastAsia="黑体" w:cs="黑体" w:hint="eastAsia"/>
                  </w:rPr>
                  <w:t>推进能源产业转型升级</w:t>
                </w:r>
              </w:sdtContent>
            </w:sdt>
            <w:r w:rsidR="00F54C2B">
              <w:tab/>
            </w:r>
            <w:bookmarkStart w:id="14" w:name="_Toc32456_WPSOffice_Level2Page"/>
            <w:r w:rsidR="00F54C2B">
              <w:t>19</w:t>
            </w:r>
            <w:bookmarkEnd w:id="14"/>
          </w:hyperlink>
        </w:p>
        <w:p w:rsidR="00372A39" w:rsidRDefault="00F26EF1">
          <w:pPr>
            <w:pStyle w:val="WPSOffice2"/>
            <w:tabs>
              <w:tab w:val="right" w:leader="dot" w:pos="8306"/>
            </w:tabs>
            <w:ind w:left="560"/>
          </w:pPr>
          <w:hyperlink w:anchor="_Toc2543_WPSOffice_Level2" w:history="1">
            <w:sdt>
              <w:sdtPr>
                <w:rPr>
                  <w:rFonts w:eastAsia="仿宋" w:cs="仿宋"/>
                  <w:kern w:val="2"/>
                  <w:sz w:val="28"/>
                  <w:szCs w:val="28"/>
                </w:rPr>
                <w:id w:val="683783682"/>
                <w:placeholder>
                  <w:docPart w:val="{1b16c3f8-471b-4c97-8c23-8a4d11139d5f}"/>
                </w:placeholder>
              </w:sdtPr>
              <w:sdtContent>
                <w:r w:rsidR="00F54C2B">
                  <w:rPr>
                    <w:rFonts w:eastAsia="黑体" w:cs="黑体" w:hint="eastAsia"/>
                  </w:rPr>
                  <w:t>第五节</w:t>
                </w:r>
                <w:r w:rsidR="00F54C2B">
                  <w:rPr>
                    <w:rFonts w:eastAsia="黑体" w:cs="黑体" w:hint="eastAsia"/>
                  </w:rPr>
                  <w:t xml:space="preserve"> </w:t>
                </w:r>
                <w:r w:rsidR="00F54C2B">
                  <w:rPr>
                    <w:rFonts w:eastAsia="黑体" w:cs="黑体" w:hint="eastAsia"/>
                  </w:rPr>
                  <w:t>加强能源治理能力</w:t>
                </w:r>
              </w:sdtContent>
            </w:sdt>
            <w:r w:rsidR="00F54C2B">
              <w:tab/>
            </w:r>
            <w:bookmarkStart w:id="15" w:name="_Toc2543_WPSOffice_Level2Page"/>
            <w:r w:rsidR="00F54C2B">
              <w:t>20</w:t>
            </w:r>
            <w:bookmarkEnd w:id="15"/>
          </w:hyperlink>
        </w:p>
        <w:p w:rsidR="00372A39" w:rsidRDefault="00F26EF1">
          <w:pPr>
            <w:pStyle w:val="WPSOffice2"/>
            <w:tabs>
              <w:tab w:val="right" w:leader="dot" w:pos="8306"/>
            </w:tabs>
            <w:ind w:left="560"/>
          </w:pPr>
          <w:hyperlink w:anchor="_Toc30338_WPSOffice_Level2" w:history="1">
            <w:sdt>
              <w:sdtPr>
                <w:rPr>
                  <w:rFonts w:eastAsia="仿宋" w:cs="仿宋"/>
                  <w:kern w:val="2"/>
                  <w:sz w:val="28"/>
                  <w:szCs w:val="28"/>
                </w:rPr>
                <w:id w:val="6953444"/>
                <w:placeholder>
                  <w:docPart w:val="{6ce14e71-3707-4a9e-a266-adf83354f609}"/>
                </w:placeholder>
              </w:sdtPr>
              <w:sdtContent>
                <w:r w:rsidR="00F54C2B">
                  <w:rPr>
                    <w:rFonts w:eastAsia="黑体" w:cs="黑体" w:hint="eastAsia"/>
                  </w:rPr>
                  <w:t>第六节</w:t>
                </w:r>
                <w:r w:rsidR="00F54C2B">
                  <w:rPr>
                    <w:rFonts w:eastAsia="黑体" w:cs="黑体" w:hint="eastAsia"/>
                  </w:rPr>
                  <w:t xml:space="preserve"> </w:t>
                </w:r>
                <w:r w:rsidR="00F54C2B">
                  <w:rPr>
                    <w:rFonts w:eastAsia="黑体" w:cs="黑体" w:hint="eastAsia"/>
                  </w:rPr>
                  <w:t>深化能源合作开放</w:t>
                </w:r>
              </w:sdtContent>
            </w:sdt>
            <w:r w:rsidR="00F54C2B">
              <w:tab/>
            </w:r>
            <w:bookmarkStart w:id="16" w:name="_Toc30338_WPSOffice_Level2Page"/>
            <w:r w:rsidR="00F54C2B">
              <w:t>22</w:t>
            </w:r>
            <w:bookmarkEnd w:id="16"/>
          </w:hyperlink>
        </w:p>
        <w:p w:rsidR="00372A39" w:rsidRDefault="00F26EF1">
          <w:pPr>
            <w:pStyle w:val="WPSOffice2"/>
            <w:tabs>
              <w:tab w:val="right" w:leader="dot" w:pos="8306"/>
            </w:tabs>
            <w:ind w:left="560"/>
          </w:pPr>
          <w:hyperlink w:anchor="_Toc20581_WPSOffice_Level2" w:history="1">
            <w:sdt>
              <w:sdtPr>
                <w:rPr>
                  <w:rFonts w:eastAsia="仿宋" w:cs="仿宋"/>
                  <w:kern w:val="2"/>
                  <w:sz w:val="28"/>
                  <w:szCs w:val="28"/>
                </w:rPr>
                <w:id w:val="-1341083884"/>
                <w:placeholder>
                  <w:docPart w:val="{61988b1c-bd99-4b9a-a9cb-b46f588da74b}"/>
                </w:placeholder>
              </w:sdtPr>
              <w:sdtContent>
                <w:r w:rsidR="00F54C2B">
                  <w:rPr>
                    <w:rFonts w:eastAsia="黑体" w:cs="黑体" w:hint="eastAsia"/>
                  </w:rPr>
                  <w:t>第七节</w:t>
                </w:r>
                <w:r w:rsidR="00F54C2B">
                  <w:rPr>
                    <w:rFonts w:eastAsia="黑体" w:cs="黑体" w:hint="eastAsia"/>
                  </w:rPr>
                  <w:t xml:space="preserve"> </w:t>
                </w:r>
                <w:r w:rsidR="00F54C2B">
                  <w:rPr>
                    <w:rFonts w:eastAsia="黑体" w:cs="黑体" w:hint="eastAsia"/>
                  </w:rPr>
                  <w:t>强化能源安全监管</w:t>
                </w:r>
              </w:sdtContent>
            </w:sdt>
            <w:r w:rsidR="00F54C2B">
              <w:tab/>
            </w:r>
            <w:bookmarkStart w:id="17" w:name="_Toc20581_WPSOffice_Level2Page"/>
            <w:r w:rsidR="00F54C2B">
              <w:t>22</w:t>
            </w:r>
            <w:bookmarkEnd w:id="17"/>
          </w:hyperlink>
        </w:p>
        <w:p w:rsidR="00372A39" w:rsidRDefault="00F26EF1">
          <w:pPr>
            <w:pStyle w:val="WPSOffice2"/>
            <w:tabs>
              <w:tab w:val="right" w:leader="dot" w:pos="8306"/>
            </w:tabs>
            <w:ind w:left="560"/>
          </w:pPr>
          <w:hyperlink w:anchor="_Toc18135_WPSOffice_Level2" w:history="1">
            <w:sdt>
              <w:sdtPr>
                <w:rPr>
                  <w:rFonts w:eastAsia="仿宋" w:cs="仿宋"/>
                  <w:kern w:val="2"/>
                  <w:sz w:val="28"/>
                  <w:szCs w:val="28"/>
                </w:rPr>
                <w:id w:val="1564599362"/>
                <w:placeholder>
                  <w:docPart w:val="{6c7fa09e-cc59-4224-89a0-f768dcb03cf8}"/>
                </w:placeholder>
              </w:sdtPr>
              <w:sdtContent>
                <w:r w:rsidR="00F54C2B">
                  <w:rPr>
                    <w:rFonts w:eastAsia="黑体" w:cs="黑体" w:hint="eastAsia"/>
                  </w:rPr>
                  <w:t>第八节</w:t>
                </w:r>
                <w:r w:rsidR="00F54C2B">
                  <w:rPr>
                    <w:rFonts w:eastAsia="黑体" w:cs="黑体" w:hint="eastAsia"/>
                  </w:rPr>
                  <w:t xml:space="preserve"> </w:t>
                </w:r>
                <w:r w:rsidR="00F54C2B">
                  <w:rPr>
                    <w:rFonts w:eastAsia="黑体" w:cs="黑体" w:hint="eastAsia"/>
                  </w:rPr>
                  <w:t>落实能源民生工程</w:t>
                </w:r>
              </w:sdtContent>
            </w:sdt>
            <w:r w:rsidR="00F54C2B">
              <w:tab/>
            </w:r>
            <w:bookmarkStart w:id="18" w:name="_Toc18135_WPSOffice_Level2Page"/>
            <w:r w:rsidR="00F54C2B">
              <w:t>24</w:t>
            </w:r>
            <w:bookmarkEnd w:id="18"/>
          </w:hyperlink>
        </w:p>
        <w:p w:rsidR="00372A39" w:rsidRDefault="00F26EF1">
          <w:pPr>
            <w:pStyle w:val="WPSOffice1"/>
            <w:tabs>
              <w:tab w:val="right" w:leader="dot" w:pos="8306"/>
            </w:tabs>
          </w:pPr>
          <w:hyperlink w:anchor="_Toc7525_WPSOffice_Level1" w:history="1">
            <w:sdt>
              <w:sdtPr>
                <w:rPr>
                  <w:rFonts w:eastAsia="仿宋" w:cs="仿宋"/>
                  <w:b/>
                  <w:bCs/>
                  <w:kern w:val="2"/>
                  <w:sz w:val="28"/>
                  <w:szCs w:val="28"/>
                </w:rPr>
                <w:id w:val="1010799769"/>
                <w:placeholder>
                  <w:docPart w:val="{6175acae-a4a9-4291-a4b5-0639a66b75e5}"/>
                </w:placeholder>
              </w:sdtPr>
              <w:sdtContent>
                <w:r w:rsidR="00F54C2B">
                  <w:rPr>
                    <w:rFonts w:eastAsia="黑体" w:cs="仿宋" w:hint="eastAsia"/>
                    <w:b/>
                    <w:bCs/>
                  </w:rPr>
                  <w:t>第五章</w:t>
                </w:r>
                <w:r w:rsidR="00F54C2B">
                  <w:rPr>
                    <w:rFonts w:eastAsia="黑体" w:cs="仿宋" w:hint="eastAsia"/>
                    <w:b/>
                    <w:bCs/>
                  </w:rPr>
                  <w:t xml:space="preserve"> </w:t>
                </w:r>
                <w:r w:rsidR="00F54C2B">
                  <w:rPr>
                    <w:rFonts w:eastAsia="黑体" w:cs="仿宋" w:hint="eastAsia"/>
                    <w:b/>
                    <w:bCs/>
                  </w:rPr>
                  <w:t>重点项目</w:t>
                </w:r>
              </w:sdtContent>
            </w:sdt>
            <w:r w:rsidR="00F54C2B">
              <w:rPr>
                <w:b/>
                <w:bCs/>
              </w:rPr>
              <w:tab/>
            </w:r>
            <w:bookmarkStart w:id="19" w:name="_Toc7525_WPSOffice_Level1Page"/>
            <w:r w:rsidR="00F54C2B">
              <w:rPr>
                <w:b/>
                <w:bCs/>
              </w:rPr>
              <w:t>25</w:t>
            </w:r>
            <w:bookmarkEnd w:id="19"/>
          </w:hyperlink>
        </w:p>
        <w:p w:rsidR="00372A39" w:rsidRDefault="00F26EF1">
          <w:pPr>
            <w:pStyle w:val="WPSOffice1"/>
            <w:tabs>
              <w:tab w:val="right" w:leader="dot" w:pos="8306"/>
            </w:tabs>
          </w:pPr>
          <w:hyperlink w:anchor="_Toc5516_WPSOffice_Level1" w:history="1">
            <w:sdt>
              <w:sdtPr>
                <w:rPr>
                  <w:rFonts w:eastAsia="仿宋" w:cs="仿宋"/>
                  <w:b/>
                  <w:bCs/>
                  <w:kern w:val="2"/>
                  <w:sz w:val="28"/>
                  <w:szCs w:val="28"/>
                </w:rPr>
                <w:id w:val="-1137261137"/>
                <w:placeholder>
                  <w:docPart w:val="{b81c8a9e-667b-49e4-8706-5e4dc179b0f1}"/>
                </w:placeholder>
              </w:sdtPr>
              <w:sdtContent>
                <w:r w:rsidR="00F54C2B">
                  <w:rPr>
                    <w:rFonts w:eastAsia="黑体" w:cs="仿宋" w:hint="eastAsia"/>
                    <w:b/>
                    <w:bCs/>
                  </w:rPr>
                  <w:t>第六章</w:t>
                </w:r>
                <w:r w:rsidR="00F54C2B">
                  <w:rPr>
                    <w:rFonts w:eastAsia="黑体" w:cs="仿宋" w:hint="eastAsia"/>
                    <w:b/>
                    <w:bCs/>
                  </w:rPr>
                  <w:t xml:space="preserve"> </w:t>
                </w:r>
                <w:r w:rsidR="00F54C2B">
                  <w:rPr>
                    <w:rFonts w:eastAsia="黑体" w:cs="仿宋" w:hint="eastAsia"/>
                    <w:b/>
                    <w:bCs/>
                  </w:rPr>
                  <w:t>环境影响</w:t>
                </w:r>
              </w:sdtContent>
            </w:sdt>
            <w:r w:rsidR="00F54C2B">
              <w:rPr>
                <w:b/>
                <w:bCs/>
              </w:rPr>
              <w:tab/>
            </w:r>
            <w:bookmarkStart w:id="20" w:name="_Toc5516_WPSOffice_Level1Page"/>
            <w:r w:rsidR="00F54C2B">
              <w:rPr>
                <w:b/>
                <w:bCs/>
              </w:rPr>
              <w:t>25</w:t>
            </w:r>
            <w:bookmarkEnd w:id="20"/>
          </w:hyperlink>
        </w:p>
        <w:p w:rsidR="00372A39" w:rsidRDefault="00F26EF1">
          <w:pPr>
            <w:pStyle w:val="WPSOffice2"/>
            <w:tabs>
              <w:tab w:val="right" w:leader="dot" w:pos="8306"/>
            </w:tabs>
            <w:ind w:left="560"/>
          </w:pPr>
          <w:hyperlink w:anchor="_Toc28253_WPSOffice_Level2" w:history="1">
            <w:sdt>
              <w:sdtPr>
                <w:rPr>
                  <w:rFonts w:eastAsia="仿宋" w:cs="仿宋"/>
                  <w:kern w:val="2"/>
                  <w:sz w:val="28"/>
                  <w:szCs w:val="28"/>
                </w:rPr>
                <w:id w:val="-1614512828"/>
                <w:placeholder>
                  <w:docPart w:val="{3fde7c2a-b61a-452a-a552-ffdd772302df}"/>
                </w:placeholder>
              </w:sdtPr>
              <w:sdtContent>
                <w:r w:rsidR="00F54C2B">
                  <w:rPr>
                    <w:rFonts w:eastAsia="黑体" w:cs="黑体" w:hint="eastAsia"/>
                  </w:rPr>
                  <w:t>第一节</w:t>
                </w:r>
                <w:r w:rsidR="00F54C2B">
                  <w:rPr>
                    <w:rFonts w:eastAsia="黑体" w:cs="黑体" w:hint="eastAsia"/>
                  </w:rPr>
                  <w:t xml:space="preserve"> </w:t>
                </w:r>
                <w:r w:rsidR="00F54C2B">
                  <w:rPr>
                    <w:rFonts w:eastAsia="黑体" w:cs="黑体" w:hint="eastAsia"/>
                  </w:rPr>
                  <w:t>环境影响分析</w:t>
                </w:r>
              </w:sdtContent>
            </w:sdt>
            <w:r w:rsidR="00F54C2B">
              <w:tab/>
            </w:r>
            <w:bookmarkStart w:id="21" w:name="_Toc28253_WPSOffice_Level2Page"/>
            <w:r w:rsidR="00F54C2B">
              <w:t>25</w:t>
            </w:r>
            <w:bookmarkEnd w:id="21"/>
          </w:hyperlink>
        </w:p>
        <w:p w:rsidR="00372A39" w:rsidRDefault="00F26EF1">
          <w:pPr>
            <w:pStyle w:val="WPSOffice2"/>
            <w:tabs>
              <w:tab w:val="right" w:leader="dot" w:pos="8306"/>
            </w:tabs>
            <w:ind w:left="560"/>
          </w:pPr>
          <w:hyperlink w:anchor="_Toc20903_WPSOffice_Level2" w:history="1">
            <w:sdt>
              <w:sdtPr>
                <w:rPr>
                  <w:rFonts w:eastAsia="仿宋" w:cs="仿宋"/>
                  <w:kern w:val="2"/>
                  <w:sz w:val="28"/>
                  <w:szCs w:val="28"/>
                </w:rPr>
                <w:id w:val="60144072"/>
                <w:placeholder>
                  <w:docPart w:val="{f6a27402-5eb7-40f9-98c3-b3ee442c5fff}"/>
                </w:placeholder>
              </w:sdtPr>
              <w:sdtContent>
                <w:r w:rsidR="00F54C2B">
                  <w:rPr>
                    <w:rFonts w:eastAsia="黑体" w:cs="黑体" w:hint="eastAsia"/>
                  </w:rPr>
                  <w:t>第二节</w:t>
                </w:r>
                <w:r w:rsidR="00F54C2B">
                  <w:rPr>
                    <w:rFonts w:eastAsia="黑体" w:cs="黑体" w:hint="eastAsia"/>
                  </w:rPr>
                  <w:t xml:space="preserve"> </w:t>
                </w:r>
                <w:r w:rsidR="00F54C2B">
                  <w:rPr>
                    <w:rFonts w:eastAsia="黑体" w:cs="黑体" w:hint="eastAsia"/>
                  </w:rPr>
                  <w:t>环境保护措施</w:t>
                </w:r>
              </w:sdtContent>
            </w:sdt>
            <w:r w:rsidR="00F54C2B">
              <w:tab/>
            </w:r>
            <w:bookmarkStart w:id="22" w:name="_Toc20903_WPSOffice_Level2Page"/>
            <w:r w:rsidR="00F54C2B">
              <w:t>26</w:t>
            </w:r>
            <w:bookmarkEnd w:id="22"/>
          </w:hyperlink>
        </w:p>
        <w:p w:rsidR="00372A39" w:rsidRDefault="00F26EF1">
          <w:pPr>
            <w:pStyle w:val="WPSOffice2"/>
            <w:tabs>
              <w:tab w:val="right" w:leader="dot" w:pos="8306"/>
            </w:tabs>
            <w:ind w:left="560"/>
          </w:pPr>
          <w:hyperlink w:anchor="_Toc27364_WPSOffice_Level2" w:history="1">
            <w:sdt>
              <w:sdtPr>
                <w:rPr>
                  <w:rFonts w:eastAsia="仿宋" w:cs="仿宋"/>
                  <w:kern w:val="2"/>
                  <w:sz w:val="28"/>
                  <w:szCs w:val="28"/>
                </w:rPr>
                <w:id w:val="-1189522780"/>
                <w:placeholder>
                  <w:docPart w:val="{6d3e38be-b064-4b84-8262-46ad46d3a2a4}"/>
                </w:placeholder>
              </w:sdtPr>
              <w:sdtContent>
                <w:r w:rsidR="00F54C2B">
                  <w:rPr>
                    <w:rFonts w:eastAsia="黑体" w:cs="黑体" w:hint="eastAsia"/>
                  </w:rPr>
                  <w:t>第三节</w:t>
                </w:r>
                <w:r w:rsidR="00F54C2B">
                  <w:rPr>
                    <w:rFonts w:eastAsia="黑体" w:cs="黑体" w:hint="eastAsia"/>
                  </w:rPr>
                  <w:t xml:space="preserve">  </w:t>
                </w:r>
                <w:r w:rsidR="00F54C2B">
                  <w:rPr>
                    <w:rFonts w:eastAsia="黑体" w:cs="黑体" w:hint="eastAsia"/>
                  </w:rPr>
                  <w:t>环境保护目标成效</w:t>
                </w:r>
              </w:sdtContent>
            </w:sdt>
            <w:r w:rsidR="00F54C2B">
              <w:tab/>
            </w:r>
            <w:bookmarkStart w:id="23" w:name="_Toc27364_WPSOffice_Level2Page"/>
            <w:r w:rsidR="00F54C2B">
              <w:t>26</w:t>
            </w:r>
            <w:bookmarkEnd w:id="23"/>
          </w:hyperlink>
        </w:p>
        <w:p w:rsidR="00372A39" w:rsidRDefault="00F26EF1">
          <w:pPr>
            <w:pStyle w:val="WPSOffice1"/>
            <w:tabs>
              <w:tab w:val="right" w:leader="dot" w:pos="8306"/>
            </w:tabs>
          </w:pPr>
          <w:hyperlink w:anchor="_Toc31959_WPSOffice_Level1" w:history="1">
            <w:sdt>
              <w:sdtPr>
                <w:rPr>
                  <w:rFonts w:eastAsia="仿宋" w:cs="仿宋"/>
                  <w:b/>
                  <w:bCs/>
                  <w:kern w:val="2"/>
                  <w:sz w:val="28"/>
                  <w:szCs w:val="28"/>
                </w:rPr>
                <w:id w:val="1291629316"/>
                <w:placeholder>
                  <w:docPart w:val="{c617017e-a072-4466-9cdd-26aed4cb458a}"/>
                </w:placeholder>
              </w:sdtPr>
              <w:sdtContent>
                <w:r w:rsidR="00F54C2B">
                  <w:rPr>
                    <w:rFonts w:eastAsia="黑体" w:cs="仿宋" w:hint="eastAsia"/>
                    <w:b/>
                    <w:bCs/>
                  </w:rPr>
                  <w:t>第七章</w:t>
                </w:r>
                <w:r w:rsidR="00F54C2B">
                  <w:rPr>
                    <w:rFonts w:eastAsia="黑体" w:cs="仿宋" w:hint="eastAsia"/>
                    <w:b/>
                    <w:bCs/>
                  </w:rPr>
                  <w:t xml:space="preserve"> </w:t>
                </w:r>
                <w:r w:rsidR="00F54C2B">
                  <w:rPr>
                    <w:rFonts w:eastAsia="黑体" w:cs="仿宋" w:hint="eastAsia"/>
                    <w:b/>
                    <w:bCs/>
                  </w:rPr>
                  <w:t>保障措施建议</w:t>
                </w:r>
              </w:sdtContent>
            </w:sdt>
            <w:r w:rsidR="00F54C2B">
              <w:rPr>
                <w:b/>
                <w:bCs/>
              </w:rPr>
              <w:tab/>
            </w:r>
            <w:bookmarkStart w:id="24" w:name="_Toc31959_WPSOffice_Level1Page"/>
            <w:r w:rsidR="00F54C2B">
              <w:rPr>
                <w:b/>
                <w:bCs/>
              </w:rPr>
              <w:t>27</w:t>
            </w:r>
            <w:bookmarkEnd w:id="24"/>
          </w:hyperlink>
        </w:p>
        <w:p w:rsidR="00372A39" w:rsidRDefault="00F26EF1">
          <w:pPr>
            <w:pStyle w:val="WPSOffice2"/>
            <w:tabs>
              <w:tab w:val="right" w:leader="dot" w:pos="8306"/>
            </w:tabs>
            <w:ind w:left="560"/>
          </w:pPr>
          <w:hyperlink w:anchor="_Toc9167_WPSOffice_Level2" w:history="1">
            <w:sdt>
              <w:sdtPr>
                <w:rPr>
                  <w:rFonts w:eastAsia="仿宋" w:cs="仿宋"/>
                  <w:kern w:val="2"/>
                  <w:sz w:val="28"/>
                  <w:szCs w:val="28"/>
                </w:rPr>
                <w:id w:val="-2037031793"/>
              </w:sdtPr>
              <w:sdtContent>
                <w:r w:rsidR="00F54C2B">
                  <w:rPr>
                    <w:rFonts w:eastAsia="黑体" w:cs="黑体" w:hint="eastAsia"/>
                  </w:rPr>
                  <w:t>第一节强化规划实施机制</w:t>
                </w:r>
              </w:sdtContent>
            </w:sdt>
            <w:r w:rsidR="00F54C2B">
              <w:tab/>
            </w:r>
            <w:bookmarkStart w:id="25" w:name="_Toc9167_WPSOffice_Level2Page"/>
            <w:r w:rsidR="00F54C2B">
              <w:t>27</w:t>
            </w:r>
            <w:bookmarkEnd w:id="25"/>
          </w:hyperlink>
        </w:p>
        <w:p w:rsidR="00372A39" w:rsidRDefault="00F26EF1">
          <w:pPr>
            <w:pStyle w:val="WPSOffice2"/>
            <w:tabs>
              <w:tab w:val="right" w:leader="dot" w:pos="8306"/>
            </w:tabs>
            <w:ind w:left="560"/>
          </w:pPr>
          <w:hyperlink w:anchor="_Toc16734_WPSOffice_Level2" w:history="1">
            <w:sdt>
              <w:sdtPr>
                <w:rPr>
                  <w:rFonts w:eastAsia="仿宋" w:cs="仿宋"/>
                  <w:kern w:val="2"/>
                  <w:sz w:val="28"/>
                  <w:szCs w:val="28"/>
                </w:rPr>
                <w:id w:val="-2024074932"/>
              </w:sdtPr>
              <w:sdtContent>
                <w:r w:rsidR="00F54C2B">
                  <w:rPr>
                    <w:rFonts w:eastAsia="黑体" w:cs="黑体" w:hint="eastAsia"/>
                  </w:rPr>
                  <w:t>第二节</w:t>
                </w:r>
                <w:r w:rsidR="00F54C2B">
                  <w:rPr>
                    <w:rFonts w:eastAsia="黑体" w:cs="黑体" w:hint="eastAsia"/>
                  </w:rPr>
                  <w:t xml:space="preserve"> </w:t>
                </w:r>
                <w:r w:rsidR="00F54C2B">
                  <w:rPr>
                    <w:rFonts w:eastAsia="黑体" w:cs="黑体" w:hint="eastAsia"/>
                  </w:rPr>
                  <w:t>加大政策支持力度</w:t>
                </w:r>
              </w:sdtContent>
            </w:sdt>
            <w:r w:rsidR="00F54C2B">
              <w:tab/>
            </w:r>
            <w:bookmarkStart w:id="26" w:name="_Toc16734_WPSOffice_Level2Page"/>
            <w:r w:rsidR="00F54C2B">
              <w:t>27</w:t>
            </w:r>
            <w:bookmarkEnd w:id="26"/>
          </w:hyperlink>
        </w:p>
        <w:p w:rsidR="00372A39" w:rsidRDefault="00F26EF1">
          <w:pPr>
            <w:pStyle w:val="WPSOffice2"/>
            <w:tabs>
              <w:tab w:val="right" w:leader="dot" w:pos="8306"/>
            </w:tabs>
            <w:ind w:left="560"/>
          </w:pPr>
          <w:hyperlink w:anchor="_Toc19759_WPSOffice_Level2" w:history="1">
            <w:sdt>
              <w:sdtPr>
                <w:rPr>
                  <w:rFonts w:eastAsia="仿宋" w:cs="仿宋"/>
                  <w:kern w:val="2"/>
                  <w:sz w:val="28"/>
                  <w:szCs w:val="28"/>
                </w:rPr>
                <w:id w:val="1514255624"/>
              </w:sdtPr>
              <w:sdtContent>
                <w:r w:rsidR="00F54C2B">
                  <w:rPr>
                    <w:rFonts w:eastAsia="黑体" w:cs="黑体" w:hint="eastAsia"/>
                  </w:rPr>
                  <w:t>第三节强化能源建设监管</w:t>
                </w:r>
              </w:sdtContent>
            </w:sdt>
            <w:r w:rsidR="00F54C2B">
              <w:tab/>
            </w:r>
            <w:bookmarkStart w:id="27" w:name="_Toc19759_WPSOffice_Level2Page"/>
            <w:r w:rsidR="00F54C2B">
              <w:t>28</w:t>
            </w:r>
            <w:bookmarkEnd w:id="27"/>
          </w:hyperlink>
        </w:p>
        <w:p w:rsidR="00372A39" w:rsidRDefault="00F26EF1">
          <w:pPr>
            <w:pStyle w:val="WPSOffice2"/>
            <w:tabs>
              <w:tab w:val="right" w:leader="dot" w:pos="8306"/>
            </w:tabs>
            <w:ind w:left="560"/>
          </w:pPr>
          <w:hyperlink w:anchor="_Toc1008_WPSOffice_Level2" w:history="1">
            <w:sdt>
              <w:sdtPr>
                <w:rPr>
                  <w:rFonts w:eastAsia="仿宋" w:cs="仿宋"/>
                  <w:kern w:val="2"/>
                  <w:sz w:val="28"/>
                  <w:szCs w:val="28"/>
                </w:rPr>
                <w:id w:val="-1791738306"/>
              </w:sdtPr>
              <w:sdtContent>
                <w:r w:rsidR="00F54C2B">
                  <w:rPr>
                    <w:rFonts w:eastAsia="黑体" w:cs="黑体" w:hint="eastAsia"/>
                  </w:rPr>
                  <w:t>第四节</w:t>
                </w:r>
                <w:r w:rsidR="00F54C2B">
                  <w:rPr>
                    <w:rFonts w:eastAsia="黑体" w:cs="黑体" w:hint="eastAsia"/>
                  </w:rPr>
                  <w:t xml:space="preserve">  </w:t>
                </w:r>
                <w:r w:rsidR="00F54C2B">
                  <w:rPr>
                    <w:rFonts w:eastAsia="黑体" w:cs="黑体" w:hint="eastAsia"/>
                  </w:rPr>
                  <w:t>完善能源统计和预测预警制度</w:t>
                </w:r>
              </w:sdtContent>
            </w:sdt>
            <w:r w:rsidR="00F54C2B">
              <w:tab/>
            </w:r>
            <w:bookmarkStart w:id="28" w:name="_Toc1008_WPSOffice_Level2Page"/>
            <w:r w:rsidR="00F54C2B">
              <w:t>28</w:t>
            </w:r>
            <w:bookmarkEnd w:id="28"/>
          </w:hyperlink>
        </w:p>
        <w:p w:rsidR="00372A39" w:rsidRDefault="00F26EF1">
          <w:pPr>
            <w:pStyle w:val="WPSOffice2"/>
            <w:tabs>
              <w:tab w:val="right" w:leader="dot" w:pos="8306"/>
            </w:tabs>
            <w:ind w:left="560"/>
          </w:pPr>
          <w:hyperlink w:anchor="_Toc31230_WPSOffice_Level2" w:history="1">
            <w:sdt>
              <w:sdtPr>
                <w:rPr>
                  <w:rFonts w:eastAsia="仿宋" w:cs="仿宋"/>
                  <w:kern w:val="2"/>
                  <w:sz w:val="28"/>
                  <w:szCs w:val="28"/>
                </w:rPr>
                <w:id w:val="-84841920"/>
              </w:sdtPr>
              <w:sdtContent>
                <w:r w:rsidR="00F54C2B">
                  <w:rPr>
                    <w:rFonts w:eastAsia="黑体" w:cs="黑体" w:hint="eastAsia"/>
                  </w:rPr>
                  <w:t>第五节</w:t>
                </w:r>
                <w:r w:rsidR="00F54C2B">
                  <w:rPr>
                    <w:rFonts w:eastAsia="黑体" w:cs="黑体" w:hint="eastAsia"/>
                  </w:rPr>
                  <w:t xml:space="preserve">  </w:t>
                </w:r>
                <w:r w:rsidR="00F54C2B">
                  <w:rPr>
                    <w:rFonts w:eastAsia="黑体" w:cs="黑体" w:hint="eastAsia"/>
                  </w:rPr>
                  <w:t>强化政策宣传解读</w:t>
                </w:r>
              </w:sdtContent>
            </w:sdt>
            <w:r w:rsidR="00F54C2B">
              <w:tab/>
            </w:r>
            <w:bookmarkStart w:id="29" w:name="_Toc31230_WPSOffice_Level2Page"/>
            <w:r w:rsidR="00F54C2B">
              <w:t>29</w:t>
            </w:r>
            <w:bookmarkEnd w:id="29"/>
          </w:hyperlink>
        </w:p>
        <w:p w:rsidR="00372A39" w:rsidRDefault="00F26EF1">
          <w:pPr>
            <w:pStyle w:val="WPSOffice1"/>
            <w:tabs>
              <w:tab w:val="right" w:leader="dot" w:pos="8306"/>
            </w:tabs>
          </w:pPr>
          <w:hyperlink w:anchor="_Toc9064_WPSOffice_Level1" w:history="1">
            <w:sdt>
              <w:sdtPr>
                <w:rPr>
                  <w:rFonts w:eastAsia="仿宋" w:cs="仿宋"/>
                  <w:b/>
                  <w:bCs/>
                  <w:kern w:val="2"/>
                  <w:sz w:val="28"/>
                  <w:szCs w:val="28"/>
                </w:rPr>
                <w:id w:val="-810090271"/>
              </w:sdtPr>
              <w:sdtContent>
                <w:r w:rsidR="00F54C2B">
                  <w:rPr>
                    <w:rFonts w:eastAsia="文星仿宋" w:cs="仿宋"/>
                    <w:b/>
                    <w:bCs/>
                  </w:rPr>
                  <w:t>附表</w:t>
                </w:r>
                <w:r w:rsidR="00F54C2B">
                  <w:rPr>
                    <w:rFonts w:eastAsia="仿宋" w:cs="仿宋"/>
                    <w:b/>
                    <w:bCs/>
                  </w:rPr>
                  <w:t>：</w:t>
                </w:r>
              </w:sdtContent>
            </w:sdt>
            <w:r w:rsidR="00F54C2B">
              <w:rPr>
                <w:b/>
                <w:bCs/>
              </w:rPr>
              <w:tab/>
            </w:r>
            <w:bookmarkStart w:id="30" w:name="_Toc9064_WPSOffice_Level1Page"/>
            <w:r w:rsidR="00F54C2B">
              <w:rPr>
                <w:b/>
                <w:bCs/>
              </w:rPr>
              <w:t>30</w:t>
            </w:r>
            <w:bookmarkEnd w:id="30"/>
          </w:hyperlink>
        </w:p>
        <w:p w:rsidR="00372A39" w:rsidRDefault="00F26EF1">
          <w:pPr>
            <w:pStyle w:val="WPSOffice1"/>
            <w:tabs>
              <w:tab w:val="right" w:leader="dot" w:pos="8306"/>
            </w:tabs>
          </w:pPr>
          <w:hyperlink w:anchor="_Toc30541_WPSOffice_Level1" w:history="1">
            <w:sdt>
              <w:sdtPr>
                <w:rPr>
                  <w:rFonts w:eastAsia="仿宋" w:cs="仿宋"/>
                  <w:b/>
                  <w:bCs/>
                  <w:kern w:val="2"/>
                  <w:sz w:val="28"/>
                  <w:szCs w:val="28"/>
                </w:rPr>
                <w:id w:val="325793982"/>
              </w:sdtPr>
              <w:sdtContent>
                <w:r w:rsidR="00F54C2B">
                  <w:rPr>
                    <w:rFonts w:ascii="黑体" w:eastAsia="黑体" w:hAnsi="黑体" w:cs="黑体" w:hint="eastAsia"/>
                    <w:b/>
                    <w:bCs/>
                  </w:rPr>
                  <w:t>“十四五”时期全市能源发展重点项目表</w:t>
                </w:r>
              </w:sdtContent>
            </w:sdt>
            <w:r w:rsidR="00F54C2B">
              <w:rPr>
                <w:b/>
                <w:bCs/>
              </w:rPr>
              <w:tab/>
            </w:r>
            <w:bookmarkStart w:id="31" w:name="_Toc30541_WPSOffice_Level1Page"/>
            <w:r w:rsidR="00F54C2B">
              <w:rPr>
                <w:b/>
                <w:bCs/>
              </w:rPr>
              <w:t>30</w:t>
            </w:r>
            <w:bookmarkEnd w:id="31"/>
          </w:hyperlink>
        </w:p>
        <w:p w:rsidR="00372A39" w:rsidRDefault="00F26EF1">
          <w:pPr>
            <w:pStyle w:val="WPSOffice1"/>
            <w:tabs>
              <w:tab w:val="right" w:leader="dot" w:pos="8306"/>
            </w:tabs>
          </w:pPr>
          <w:hyperlink w:anchor="_Toc19971_WPSOffice_Level1" w:history="1">
            <w:sdt>
              <w:sdtPr>
                <w:rPr>
                  <w:rFonts w:eastAsia="仿宋" w:cs="仿宋"/>
                  <w:b/>
                  <w:bCs/>
                  <w:kern w:val="2"/>
                  <w:sz w:val="28"/>
                  <w:szCs w:val="28"/>
                </w:rPr>
                <w:id w:val="-1267376139"/>
              </w:sdtPr>
              <w:sdtContent>
                <w:r w:rsidR="00F54C2B">
                  <w:rPr>
                    <w:rFonts w:eastAsia="仿宋" w:cs="仿宋" w:hint="eastAsia"/>
                    <w:b/>
                    <w:bCs/>
                  </w:rPr>
                  <w:t>附图</w:t>
                </w:r>
                <w:r w:rsidR="00F54C2B">
                  <w:rPr>
                    <w:rFonts w:eastAsia="仿宋" w:cs="仿宋" w:hint="eastAsia"/>
                    <w:b/>
                    <w:bCs/>
                  </w:rPr>
                  <w:t xml:space="preserve">1 </w:t>
                </w:r>
                <w:r w:rsidR="00F54C2B">
                  <w:rPr>
                    <w:rFonts w:eastAsia="仿宋" w:cs="仿宋" w:hint="eastAsia"/>
                    <w:b/>
                    <w:bCs/>
                  </w:rPr>
                  <w:t>梅州市当前主要能源设施及用能单位分布</w:t>
                </w:r>
              </w:sdtContent>
            </w:sdt>
            <w:r w:rsidR="00F54C2B">
              <w:rPr>
                <w:b/>
                <w:bCs/>
              </w:rPr>
              <w:tab/>
            </w:r>
            <w:bookmarkStart w:id="32" w:name="_Toc19971_WPSOffice_Level1Page"/>
            <w:r w:rsidR="00F54C2B">
              <w:rPr>
                <w:b/>
                <w:bCs/>
              </w:rPr>
              <w:t>32</w:t>
            </w:r>
            <w:bookmarkEnd w:id="32"/>
          </w:hyperlink>
        </w:p>
        <w:p w:rsidR="00372A39" w:rsidRDefault="00F26EF1">
          <w:pPr>
            <w:pStyle w:val="WPSOffice1"/>
            <w:tabs>
              <w:tab w:val="right" w:leader="dot" w:pos="8306"/>
            </w:tabs>
          </w:pPr>
          <w:hyperlink w:anchor="_Toc5917_WPSOffice_Level1" w:history="1">
            <w:sdt>
              <w:sdtPr>
                <w:rPr>
                  <w:rFonts w:eastAsia="仿宋" w:cs="仿宋"/>
                  <w:b/>
                  <w:bCs/>
                  <w:kern w:val="2"/>
                  <w:sz w:val="28"/>
                  <w:szCs w:val="28"/>
                </w:rPr>
                <w:id w:val="1238591146"/>
              </w:sdtPr>
              <w:sdtContent>
                <w:r w:rsidR="00F54C2B">
                  <w:rPr>
                    <w:rFonts w:eastAsia="仿宋" w:cs="仿宋" w:hint="eastAsia"/>
                    <w:b/>
                    <w:bCs/>
                  </w:rPr>
                  <w:t>附图</w:t>
                </w:r>
                <w:r w:rsidR="00F54C2B">
                  <w:rPr>
                    <w:rFonts w:eastAsia="仿宋" w:cs="仿宋" w:hint="eastAsia"/>
                    <w:b/>
                    <w:bCs/>
                  </w:rPr>
                  <w:t xml:space="preserve">2 </w:t>
                </w:r>
                <w:r w:rsidR="00F54C2B">
                  <w:rPr>
                    <w:rFonts w:eastAsia="仿宋" w:cs="仿宋" w:hint="eastAsia"/>
                    <w:b/>
                    <w:bCs/>
                  </w:rPr>
                  <w:t>梅州市</w:t>
                </w:r>
                <w:r w:rsidR="00F54C2B">
                  <w:rPr>
                    <w:rFonts w:eastAsia="仿宋" w:cs="仿宋" w:hint="eastAsia"/>
                    <w:b/>
                    <w:bCs/>
                  </w:rPr>
                  <w:t>2005</w:t>
                </w:r>
                <w:r w:rsidR="00F54C2B">
                  <w:rPr>
                    <w:rFonts w:eastAsia="仿宋" w:cs="仿宋" w:hint="eastAsia"/>
                    <w:b/>
                    <w:bCs/>
                  </w:rPr>
                  <w:t>年以来电网建设情况一览表</w:t>
                </w:r>
              </w:sdtContent>
            </w:sdt>
            <w:r w:rsidR="00F54C2B">
              <w:rPr>
                <w:b/>
                <w:bCs/>
              </w:rPr>
              <w:tab/>
            </w:r>
            <w:bookmarkStart w:id="33" w:name="_Toc5917_WPSOffice_Level1Page"/>
            <w:r w:rsidR="00F54C2B">
              <w:rPr>
                <w:b/>
                <w:bCs/>
              </w:rPr>
              <w:t>33</w:t>
            </w:r>
            <w:bookmarkEnd w:id="33"/>
          </w:hyperlink>
        </w:p>
        <w:p w:rsidR="00372A39" w:rsidRDefault="00F26EF1">
          <w:pPr>
            <w:pStyle w:val="WPSOffice1"/>
            <w:tabs>
              <w:tab w:val="right" w:leader="dot" w:pos="8306"/>
            </w:tabs>
          </w:pPr>
          <w:hyperlink w:anchor="_Toc18122_WPSOffice_Level1" w:history="1">
            <w:sdt>
              <w:sdtPr>
                <w:rPr>
                  <w:rFonts w:eastAsia="仿宋" w:cs="仿宋"/>
                  <w:b/>
                  <w:bCs/>
                  <w:kern w:val="2"/>
                  <w:sz w:val="28"/>
                  <w:szCs w:val="28"/>
                </w:rPr>
                <w:id w:val="-1531868281"/>
              </w:sdtPr>
              <w:sdtContent>
                <w:r w:rsidR="00F54C2B">
                  <w:rPr>
                    <w:rFonts w:eastAsia="仿宋" w:cs="仿宋" w:hint="eastAsia"/>
                    <w:b/>
                    <w:bCs/>
                  </w:rPr>
                  <w:t>附图</w:t>
                </w:r>
                <w:r w:rsidR="00F54C2B">
                  <w:rPr>
                    <w:rFonts w:eastAsia="仿宋" w:cs="仿宋" w:hint="eastAsia"/>
                    <w:b/>
                    <w:bCs/>
                  </w:rPr>
                  <w:t xml:space="preserve">3 </w:t>
                </w:r>
                <w:r w:rsidR="00F54C2B">
                  <w:rPr>
                    <w:rFonts w:eastAsia="仿宋" w:cs="仿宋" w:hint="eastAsia"/>
                    <w:b/>
                    <w:bCs/>
                  </w:rPr>
                  <w:t>梅州市能源消费（一次能源消费）占比结构一览</w:t>
                </w:r>
              </w:sdtContent>
            </w:sdt>
            <w:r w:rsidR="00F54C2B">
              <w:rPr>
                <w:b/>
                <w:bCs/>
              </w:rPr>
              <w:tab/>
            </w:r>
            <w:bookmarkStart w:id="34" w:name="_Toc18122_WPSOffice_Level1Page"/>
            <w:r w:rsidR="00F54C2B">
              <w:rPr>
                <w:b/>
                <w:bCs/>
              </w:rPr>
              <w:t>33</w:t>
            </w:r>
            <w:bookmarkEnd w:id="34"/>
          </w:hyperlink>
        </w:p>
      </w:sdtContent>
    </w:sdt>
    <w:bookmarkEnd w:id="0"/>
    <w:p w:rsidR="00372A39" w:rsidRDefault="00372A39">
      <w:pPr>
        <w:widowControl/>
        <w:spacing w:line="600" w:lineRule="exact"/>
        <w:jc w:val="center"/>
        <w:rPr>
          <w:rFonts w:ascii="楷体" w:eastAsia="楷体" w:hAnsi="楷体" w:cs="楷体"/>
          <w:bCs/>
          <w:kern w:val="0"/>
        </w:rPr>
        <w:sectPr w:rsidR="00372A39">
          <w:footerReference w:type="default" r:id="rId9"/>
          <w:pgSz w:w="11906" w:h="16838"/>
          <w:pgMar w:top="1440" w:right="1800" w:bottom="1440" w:left="1800" w:header="851" w:footer="992" w:gutter="0"/>
          <w:pgNumType w:fmt="upperRoman" w:start="1"/>
          <w:cols w:space="425"/>
          <w:docGrid w:type="lines" w:linePitch="312"/>
        </w:sectPr>
      </w:pPr>
    </w:p>
    <w:p w:rsidR="00372A39" w:rsidRDefault="00F54C2B">
      <w:pPr>
        <w:pStyle w:val="af1"/>
        <w:rPr>
          <w:rFonts w:hint="default"/>
        </w:rPr>
      </w:pPr>
      <w:r>
        <w:lastRenderedPageBreak/>
        <w:t>能源是经济发展的命脉，能源发展攸关国计民生与国家安全。科学系统地谋划、建构清洁高效、绿色低碳、创新驱动的现代能源发展体系，深入落实新发展理念，全面践行能源生产和消费革命战略，构建能源高质量发展新格局，对于促进经济社会发展、增进人民福祉有重大意义。“十四五”时期（</w:t>
      </w:r>
      <w:r>
        <w:t>2021-2025</w:t>
      </w:r>
      <w:r>
        <w:t>年），是我省实现“四个走在全国前列”、当好“两个重要窗口”的关键时期，也是我市打造“三宜”城市，争当生态发展区建设先行示范市，建立绿色低碳循环发展的经济体系的关键阶段。</w:t>
      </w:r>
    </w:p>
    <w:p w:rsidR="00372A39" w:rsidRDefault="00F54C2B">
      <w:pPr>
        <w:pStyle w:val="af1"/>
        <w:rPr>
          <w:rFonts w:hint="default"/>
        </w:rPr>
      </w:pPr>
      <w:r>
        <w:t>为稳步推进梅州市能源发展，根据《广东省能源发展“十四五”规划》和《梅州市国民经济和社会发展第十四个五年规划和二〇三五年远景目标纲要》，制定本规划，作为我市能源发展、建设的行动纲领和工作指引。</w:t>
      </w:r>
    </w:p>
    <w:p w:rsidR="00372A39" w:rsidRDefault="00F54C2B">
      <w:pPr>
        <w:pStyle w:val="af"/>
        <w:spacing w:before="290" w:after="290"/>
        <w:rPr>
          <w:rFonts w:hint="default"/>
        </w:rPr>
      </w:pPr>
      <w:bookmarkStart w:id="35" w:name="_Toc14919_WPSOffice_Level1"/>
      <w:r>
        <w:t>第一章</w:t>
      </w:r>
      <w:r>
        <w:t xml:space="preserve"> </w:t>
      </w:r>
      <w:r>
        <w:t>发展基础</w:t>
      </w:r>
      <w:bookmarkEnd w:id="35"/>
    </w:p>
    <w:p w:rsidR="00372A39" w:rsidRDefault="00F54C2B">
      <w:pPr>
        <w:pStyle w:val="af0"/>
        <w:spacing w:before="290" w:after="290"/>
        <w:rPr>
          <w:rFonts w:hint="default"/>
        </w:rPr>
      </w:pPr>
      <w:bookmarkStart w:id="36" w:name="_Toc1159_WPSOffice_Level2"/>
      <w:r>
        <w:t>第一节</w:t>
      </w:r>
      <w:r>
        <w:t xml:space="preserve"> </w:t>
      </w:r>
      <w:r>
        <w:t>发展现状</w:t>
      </w:r>
      <w:bookmarkEnd w:id="36"/>
    </w:p>
    <w:p w:rsidR="00372A39" w:rsidRDefault="00F54C2B">
      <w:pPr>
        <w:pStyle w:val="af1"/>
        <w:rPr>
          <w:rFonts w:hint="default"/>
        </w:rPr>
      </w:pPr>
      <w:r>
        <w:rPr>
          <w:bCs/>
          <w:color w:val="333333"/>
        </w:rPr>
        <w:t>“十三五”以来，我市持续推进能源领域保供应、调结构、控消费、提效率、惠民生等工作，能源发展转型升级初见成效，基本形成供应安全、结构优化、产业升级、洁净高效的发展格局，有力地支撑了社会经济发展。</w:t>
      </w:r>
    </w:p>
    <w:p w:rsidR="00372A39" w:rsidRDefault="00F54C2B">
      <w:pPr>
        <w:pStyle w:val="af1"/>
        <w:ind w:firstLine="562"/>
        <w:rPr>
          <w:rFonts w:hint="default"/>
          <w:bCs/>
          <w:color w:val="333333"/>
        </w:rPr>
      </w:pPr>
      <w:r>
        <w:rPr>
          <w:b/>
          <w:color w:val="333333"/>
        </w:rPr>
        <w:t>——多元化供应能力稳步提升。</w:t>
      </w:r>
      <w:r>
        <w:rPr>
          <w:bCs/>
          <w:color w:val="333333"/>
        </w:rPr>
        <w:t>到</w:t>
      </w:r>
      <w:r>
        <w:rPr>
          <w:bCs/>
          <w:color w:val="333333"/>
        </w:rPr>
        <w:t>2020</w:t>
      </w:r>
      <w:r>
        <w:rPr>
          <w:bCs/>
          <w:color w:val="333333"/>
        </w:rPr>
        <w:t>年底，全市发电装机容量</w:t>
      </w:r>
      <w:r>
        <w:rPr>
          <w:bCs/>
          <w:color w:val="333333"/>
        </w:rPr>
        <w:t>465.24</w:t>
      </w:r>
      <w:r>
        <w:rPr>
          <w:bCs/>
          <w:color w:val="333333"/>
        </w:rPr>
        <w:t>万千瓦，较</w:t>
      </w:r>
      <w:r>
        <w:rPr>
          <w:bCs/>
          <w:color w:val="333333"/>
        </w:rPr>
        <w:t>2015</w:t>
      </w:r>
      <w:r>
        <w:rPr>
          <w:bCs/>
          <w:color w:val="333333"/>
        </w:rPr>
        <w:t>年增加</w:t>
      </w:r>
      <w:r>
        <w:rPr>
          <w:bCs/>
          <w:color w:val="333333"/>
        </w:rPr>
        <w:t>70.24</w:t>
      </w:r>
      <w:r>
        <w:rPr>
          <w:bCs/>
          <w:color w:val="333333"/>
        </w:rPr>
        <w:t>万千瓦，圆满完成“十三五”能源发展规划的目标值</w:t>
      </w:r>
      <w:r>
        <w:rPr>
          <w:bCs/>
          <w:color w:val="333333"/>
        </w:rPr>
        <w:t>431</w:t>
      </w:r>
      <w:r>
        <w:rPr>
          <w:bCs/>
          <w:color w:val="333333"/>
        </w:rPr>
        <w:t>万千瓦。其中火电装机容量为</w:t>
      </w:r>
      <w:r>
        <w:rPr>
          <w:bCs/>
          <w:color w:val="333333"/>
        </w:rPr>
        <w:t>267</w:t>
      </w:r>
      <w:r>
        <w:rPr>
          <w:bCs/>
          <w:color w:val="333333"/>
        </w:rPr>
        <w:t>万千瓦，占比</w:t>
      </w:r>
      <w:r>
        <w:rPr>
          <w:bCs/>
          <w:color w:val="333333"/>
        </w:rPr>
        <w:t>57.39%</w:t>
      </w:r>
      <w:r>
        <w:rPr>
          <w:bCs/>
          <w:color w:val="333333"/>
        </w:rPr>
        <w:t>；水电装机为</w:t>
      </w:r>
      <w:r>
        <w:rPr>
          <w:bCs/>
          <w:color w:val="333333"/>
        </w:rPr>
        <w:t>130</w:t>
      </w:r>
      <w:r>
        <w:rPr>
          <w:bCs/>
          <w:color w:val="333333"/>
        </w:rPr>
        <w:t>万千瓦，占比</w:t>
      </w:r>
      <w:r>
        <w:rPr>
          <w:bCs/>
          <w:color w:val="333333"/>
        </w:rPr>
        <w:t>27.94%</w:t>
      </w:r>
      <w:r>
        <w:rPr>
          <w:bCs/>
          <w:color w:val="333333"/>
        </w:rPr>
        <w:t>；光伏发电装机</w:t>
      </w:r>
      <w:r>
        <w:rPr>
          <w:bCs/>
          <w:color w:val="333333"/>
        </w:rPr>
        <w:lastRenderedPageBreak/>
        <w:t>容量为</w:t>
      </w:r>
      <w:r>
        <w:rPr>
          <w:bCs/>
          <w:color w:val="333333"/>
        </w:rPr>
        <w:t>55.14</w:t>
      </w:r>
      <w:r>
        <w:rPr>
          <w:bCs/>
          <w:color w:val="333333"/>
        </w:rPr>
        <w:t>万千瓦，占比</w:t>
      </w:r>
      <w:r>
        <w:rPr>
          <w:bCs/>
          <w:color w:val="333333"/>
        </w:rPr>
        <w:t>11.85%</w:t>
      </w:r>
      <w:r>
        <w:rPr>
          <w:bCs/>
          <w:color w:val="333333"/>
        </w:rPr>
        <w:t>；余热发电装机容量</w:t>
      </w:r>
      <w:r>
        <w:rPr>
          <w:bCs/>
          <w:color w:val="333333"/>
        </w:rPr>
        <w:t>6.05</w:t>
      </w:r>
      <w:r>
        <w:rPr>
          <w:bCs/>
          <w:color w:val="333333"/>
        </w:rPr>
        <w:t>万千瓦，占比</w:t>
      </w:r>
      <w:r>
        <w:rPr>
          <w:bCs/>
          <w:color w:val="333333"/>
        </w:rPr>
        <w:t>1.30%</w:t>
      </w:r>
      <w:r>
        <w:rPr>
          <w:bCs/>
          <w:color w:val="333333"/>
        </w:rPr>
        <w:t>；垃圾焚烧发电装机容量</w:t>
      </w:r>
      <w:r>
        <w:rPr>
          <w:bCs/>
          <w:color w:val="333333"/>
        </w:rPr>
        <w:t>2.1</w:t>
      </w:r>
      <w:r>
        <w:rPr>
          <w:bCs/>
          <w:color w:val="333333"/>
        </w:rPr>
        <w:t>万千瓦，占比</w:t>
      </w:r>
      <w:r>
        <w:rPr>
          <w:bCs/>
          <w:color w:val="333333"/>
        </w:rPr>
        <w:t>0.45%</w:t>
      </w:r>
      <w:r>
        <w:rPr>
          <w:bCs/>
          <w:color w:val="333333"/>
        </w:rPr>
        <w:t>，风力发电装机容量</w:t>
      </w:r>
      <w:r>
        <w:rPr>
          <w:bCs/>
          <w:color w:val="333333"/>
        </w:rPr>
        <w:t>4.95</w:t>
      </w:r>
      <w:r>
        <w:rPr>
          <w:bCs/>
          <w:color w:val="333333"/>
        </w:rPr>
        <w:t>万千瓦，占比</w:t>
      </w:r>
      <w:r>
        <w:rPr>
          <w:bCs/>
          <w:color w:val="333333"/>
        </w:rPr>
        <w:t>1.06%</w:t>
      </w:r>
      <w:r>
        <w:rPr>
          <w:bCs/>
          <w:color w:val="333333"/>
        </w:rPr>
        <w:t>。全市建有</w:t>
      </w:r>
      <w:r>
        <w:rPr>
          <w:bCs/>
          <w:color w:val="333333"/>
        </w:rPr>
        <w:t>500</w:t>
      </w:r>
      <w:r>
        <w:rPr>
          <w:bCs/>
          <w:color w:val="333333"/>
        </w:rPr>
        <w:t>千伏变电站</w:t>
      </w:r>
      <w:r>
        <w:rPr>
          <w:bCs/>
          <w:color w:val="333333"/>
        </w:rPr>
        <w:t>1</w:t>
      </w:r>
      <w:r>
        <w:rPr>
          <w:bCs/>
          <w:color w:val="333333"/>
        </w:rPr>
        <w:t>座，配套线路长度</w:t>
      </w:r>
      <w:r>
        <w:rPr>
          <w:bCs/>
          <w:color w:val="333333"/>
        </w:rPr>
        <w:t>632</w:t>
      </w:r>
      <w:r>
        <w:rPr>
          <w:bCs/>
          <w:color w:val="333333"/>
        </w:rPr>
        <w:t>千米，新增线路长度</w:t>
      </w:r>
      <w:r>
        <w:rPr>
          <w:bCs/>
          <w:color w:val="333333"/>
        </w:rPr>
        <w:t>27</w:t>
      </w:r>
      <w:r>
        <w:rPr>
          <w:bCs/>
          <w:color w:val="333333"/>
        </w:rPr>
        <w:t>千米；</w:t>
      </w:r>
      <w:r>
        <w:rPr>
          <w:bCs/>
          <w:color w:val="333333"/>
        </w:rPr>
        <w:t>220</w:t>
      </w:r>
      <w:r>
        <w:rPr>
          <w:bCs/>
          <w:color w:val="333333"/>
        </w:rPr>
        <w:t>千伏变电站</w:t>
      </w:r>
      <w:r>
        <w:rPr>
          <w:bCs/>
          <w:color w:val="333333"/>
        </w:rPr>
        <w:t>14</w:t>
      </w:r>
      <w:r>
        <w:rPr>
          <w:bCs/>
          <w:color w:val="333333"/>
        </w:rPr>
        <w:t>座，新增</w:t>
      </w:r>
      <w:r>
        <w:rPr>
          <w:bCs/>
          <w:color w:val="333333"/>
        </w:rPr>
        <w:t>4</w:t>
      </w:r>
      <w:r>
        <w:rPr>
          <w:bCs/>
          <w:color w:val="333333"/>
        </w:rPr>
        <w:t>座，新增容量</w:t>
      </w:r>
      <w:r>
        <w:rPr>
          <w:bCs/>
          <w:color w:val="333333"/>
        </w:rPr>
        <w:t>162</w:t>
      </w:r>
      <w:r>
        <w:rPr>
          <w:bCs/>
          <w:color w:val="333333"/>
        </w:rPr>
        <w:t>万千瓦，新增配套线路长度</w:t>
      </w:r>
      <w:r>
        <w:rPr>
          <w:bCs/>
          <w:color w:val="333333"/>
        </w:rPr>
        <w:t>276</w:t>
      </w:r>
      <w:r>
        <w:rPr>
          <w:bCs/>
          <w:color w:val="333333"/>
        </w:rPr>
        <w:t>千米；</w:t>
      </w:r>
      <w:r>
        <w:rPr>
          <w:bCs/>
          <w:color w:val="333333"/>
        </w:rPr>
        <w:t>110</w:t>
      </w:r>
      <w:r>
        <w:rPr>
          <w:bCs/>
          <w:color w:val="333333"/>
        </w:rPr>
        <w:t>千伏变电站</w:t>
      </w:r>
      <w:r>
        <w:rPr>
          <w:bCs/>
          <w:color w:val="333333"/>
        </w:rPr>
        <w:t>72</w:t>
      </w:r>
      <w:r>
        <w:rPr>
          <w:bCs/>
          <w:color w:val="333333"/>
        </w:rPr>
        <w:t>座，新增</w:t>
      </w:r>
      <w:r>
        <w:rPr>
          <w:bCs/>
          <w:color w:val="333333"/>
        </w:rPr>
        <w:t>7</w:t>
      </w:r>
      <w:r>
        <w:rPr>
          <w:bCs/>
          <w:color w:val="333333"/>
        </w:rPr>
        <w:t>座，新增容量</w:t>
      </w:r>
      <w:r>
        <w:rPr>
          <w:bCs/>
          <w:color w:val="333333"/>
        </w:rPr>
        <w:t>43.7</w:t>
      </w:r>
      <w:r>
        <w:rPr>
          <w:bCs/>
          <w:color w:val="333333"/>
        </w:rPr>
        <w:t>万千瓦，新增配套线路长度</w:t>
      </w:r>
      <w:r>
        <w:rPr>
          <w:bCs/>
          <w:color w:val="333333"/>
        </w:rPr>
        <w:t>273</w:t>
      </w:r>
      <w:r>
        <w:rPr>
          <w:bCs/>
          <w:color w:val="333333"/>
        </w:rPr>
        <w:t>千米，在地方电源充足、容载比持续居高、负荷规模增长有限等背景下，电网项目逐步落地投产，电网规模实现了大幅度增长，有效保障了梅州市电力资源的输配调控。我市天然气供应能力的进一步提升，全市建成城市天然气中压管网</w:t>
      </w:r>
      <w:r>
        <w:rPr>
          <w:bCs/>
          <w:color w:val="333333"/>
        </w:rPr>
        <w:t>671</w:t>
      </w:r>
      <w:r>
        <w:rPr>
          <w:bCs/>
          <w:color w:val="333333"/>
        </w:rPr>
        <w:t>公里、低压管网</w:t>
      </w:r>
      <w:r>
        <w:rPr>
          <w:bCs/>
          <w:color w:val="333333"/>
        </w:rPr>
        <w:t>927</w:t>
      </w:r>
      <w:r>
        <w:rPr>
          <w:bCs/>
          <w:color w:val="333333"/>
        </w:rPr>
        <w:t>公里。“西三线”闽粤支干线全线试运投产，实现我市与国家天然气主干管网的对接。同时，我市建成省天然气主干管网揭阳</w:t>
      </w:r>
      <w:r>
        <w:rPr>
          <w:bCs/>
          <w:color w:val="333333"/>
        </w:rPr>
        <w:t>-</w:t>
      </w:r>
      <w:r>
        <w:rPr>
          <w:bCs/>
          <w:color w:val="333333"/>
        </w:rPr>
        <w:t>梅州支干线项目，项目承接西气东输三线闽粤支干线气源和粤东</w:t>
      </w:r>
      <w:r>
        <w:rPr>
          <w:bCs/>
          <w:color w:val="333333"/>
        </w:rPr>
        <w:t>LNG</w:t>
      </w:r>
      <w:r>
        <w:rPr>
          <w:bCs/>
          <w:color w:val="333333"/>
        </w:rPr>
        <w:t>气源，为梅州的城镇燃气用户供气，同时可实现西气东输三线闽粤支干线气向粤东</w:t>
      </w:r>
      <w:r>
        <w:rPr>
          <w:bCs/>
          <w:color w:val="333333"/>
        </w:rPr>
        <w:t>LNG</w:t>
      </w:r>
      <w:r>
        <w:rPr>
          <w:bCs/>
          <w:color w:val="333333"/>
        </w:rPr>
        <w:t>配套管线互联互通的功能，形成粤东地区多气源互补格局，提高整体供气安全保障。</w:t>
      </w:r>
    </w:p>
    <w:p w:rsidR="00372A39" w:rsidRPr="00D26924" w:rsidRDefault="00F54C2B" w:rsidP="00D26924">
      <w:pPr>
        <w:pStyle w:val="af1"/>
        <w:rPr>
          <w:rFonts w:hint="default"/>
          <w:bCs/>
          <w:color w:val="333333"/>
        </w:rPr>
      </w:pPr>
      <w:r w:rsidRPr="00D26924">
        <w:rPr>
          <w:bCs/>
          <w:color w:val="333333"/>
        </w:rPr>
        <w:t>——能源消费结构持续优化。</w:t>
      </w:r>
      <w:r w:rsidR="00D26924" w:rsidRPr="00D26924">
        <w:rPr>
          <w:bCs/>
          <w:color w:val="333333"/>
        </w:rPr>
        <w:t>2020</w:t>
      </w:r>
      <w:r w:rsidRPr="00D26924">
        <w:rPr>
          <w:bCs/>
          <w:color w:val="333333"/>
        </w:rPr>
        <w:t>年，我市能源消费总量为</w:t>
      </w:r>
      <w:r w:rsidR="00D26924" w:rsidRPr="00D26924">
        <w:rPr>
          <w:bCs/>
          <w:color w:val="333333"/>
        </w:rPr>
        <w:t xml:space="preserve"> </w:t>
      </w:r>
      <w:r w:rsidRPr="00D26924">
        <w:rPr>
          <w:bCs/>
          <w:color w:val="333333"/>
        </w:rPr>
        <w:t>万吨标准煤，全社会用电量</w:t>
      </w:r>
      <w:r w:rsidR="00D26924" w:rsidRPr="00D26924">
        <w:rPr>
          <w:bCs/>
          <w:color w:val="333333"/>
        </w:rPr>
        <w:t>102.59</w:t>
      </w:r>
      <w:r w:rsidRPr="00D26924">
        <w:rPr>
          <w:bCs/>
          <w:color w:val="333333"/>
        </w:rPr>
        <w:t>亿千瓦时。</w:t>
      </w:r>
      <w:r w:rsidRPr="00D26924">
        <w:rPr>
          <w:bCs/>
          <w:color w:val="333333"/>
        </w:rPr>
        <w:t>2019</w:t>
      </w:r>
      <w:r w:rsidRPr="00D26924">
        <w:rPr>
          <w:bCs/>
          <w:color w:val="333333"/>
        </w:rPr>
        <w:t>年我市煤炭、石油、非化石能源、天然气消费分别占比为</w:t>
      </w:r>
      <w:r w:rsidRPr="00D26924">
        <w:rPr>
          <w:bCs/>
          <w:color w:val="333333"/>
        </w:rPr>
        <w:t>59.56%</w:t>
      </w:r>
      <w:r w:rsidRPr="00D26924">
        <w:rPr>
          <w:bCs/>
          <w:color w:val="333333"/>
        </w:rPr>
        <w:t>、</w:t>
      </w:r>
      <w:r w:rsidRPr="00D26924">
        <w:rPr>
          <w:bCs/>
          <w:color w:val="333333"/>
        </w:rPr>
        <w:t>22.00%</w:t>
      </w:r>
      <w:r w:rsidRPr="00D26924">
        <w:rPr>
          <w:bCs/>
          <w:color w:val="333333"/>
        </w:rPr>
        <w:t>、</w:t>
      </w:r>
      <w:r w:rsidRPr="00D26924">
        <w:rPr>
          <w:bCs/>
          <w:color w:val="333333"/>
        </w:rPr>
        <w:t>17.83%</w:t>
      </w:r>
      <w:r w:rsidRPr="00D26924">
        <w:rPr>
          <w:bCs/>
          <w:color w:val="333333"/>
        </w:rPr>
        <w:t>、</w:t>
      </w:r>
      <w:r w:rsidRPr="00D26924">
        <w:rPr>
          <w:bCs/>
          <w:color w:val="333333"/>
        </w:rPr>
        <w:t>0.61%</w:t>
      </w:r>
      <w:r w:rsidRPr="00D26924">
        <w:rPr>
          <w:bCs/>
          <w:color w:val="333333"/>
        </w:rPr>
        <w:t>。</w:t>
      </w:r>
      <w:bookmarkStart w:id="37" w:name="_Hlk34424166"/>
      <w:r w:rsidRPr="00D26924">
        <w:rPr>
          <w:bCs/>
          <w:color w:val="333333"/>
        </w:rPr>
        <w:t>我市一次能源消费煤炭占比</w:t>
      </w:r>
      <w:bookmarkEnd w:id="37"/>
      <w:r w:rsidRPr="00D26924">
        <w:rPr>
          <w:bCs/>
          <w:color w:val="333333"/>
        </w:rPr>
        <w:t>已由</w:t>
      </w:r>
      <w:r w:rsidRPr="00D26924">
        <w:rPr>
          <w:bCs/>
          <w:color w:val="333333"/>
        </w:rPr>
        <w:t>2015</w:t>
      </w:r>
      <w:r w:rsidRPr="00D26924">
        <w:rPr>
          <w:bCs/>
          <w:color w:val="333333"/>
        </w:rPr>
        <w:t>年的</w:t>
      </w:r>
      <w:r w:rsidRPr="00D26924">
        <w:rPr>
          <w:bCs/>
          <w:color w:val="333333"/>
        </w:rPr>
        <w:t>64.02%</w:t>
      </w:r>
      <w:r w:rsidRPr="00D26924">
        <w:rPr>
          <w:bCs/>
          <w:color w:val="333333"/>
        </w:rPr>
        <w:t>下降至</w:t>
      </w:r>
      <w:r w:rsidRPr="00D26924">
        <w:rPr>
          <w:bCs/>
          <w:color w:val="333333"/>
        </w:rPr>
        <w:t>59.56%</w:t>
      </w:r>
      <w:r w:rsidRPr="00D26924">
        <w:rPr>
          <w:bCs/>
          <w:color w:val="333333"/>
        </w:rPr>
        <w:t>，非化石能源消费占一次能源消费的比重从</w:t>
      </w:r>
      <w:r w:rsidRPr="00D26924">
        <w:rPr>
          <w:bCs/>
          <w:color w:val="333333"/>
        </w:rPr>
        <w:t>15.47%</w:t>
      </w:r>
      <w:r w:rsidRPr="00D26924">
        <w:rPr>
          <w:bCs/>
          <w:color w:val="333333"/>
        </w:rPr>
        <w:t>上升至</w:t>
      </w:r>
      <w:r w:rsidRPr="00D26924">
        <w:rPr>
          <w:bCs/>
          <w:color w:val="333333"/>
        </w:rPr>
        <w:t>17.83%</w:t>
      </w:r>
      <w:r w:rsidRPr="00D26924">
        <w:rPr>
          <w:bCs/>
          <w:color w:val="333333"/>
        </w:rPr>
        <w:t>，在火电装机容量</w:t>
      </w:r>
      <w:r w:rsidRPr="00D26924">
        <w:rPr>
          <w:bCs/>
          <w:color w:val="333333"/>
        </w:rPr>
        <w:t>267</w:t>
      </w:r>
      <w:r w:rsidRPr="00D26924">
        <w:rPr>
          <w:bCs/>
          <w:color w:val="333333"/>
        </w:rPr>
        <w:t>万千瓦的前提下，能源消费结构的调整趋势已得到体现，能源消费结构持续优化。</w:t>
      </w:r>
    </w:p>
    <w:p w:rsidR="00372A39" w:rsidRDefault="00F54C2B">
      <w:pPr>
        <w:pStyle w:val="af4"/>
        <w:rPr>
          <w:rFonts w:hint="default"/>
          <w:b/>
          <w:bCs/>
        </w:rPr>
      </w:pPr>
      <w:r>
        <w:rPr>
          <w:noProof/>
        </w:rPr>
        <w:lastRenderedPageBreak/>
        <w:drawing>
          <wp:inline distT="0" distB="0" distL="114300" distR="114300">
            <wp:extent cx="5272405" cy="3517900"/>
            <wp:effectExtent l="0" t="0" r="4445" b="635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cstate="print"/>
                    <a:stretch>
                      <a:fillRect/>
                    </a:stretch>
                  </pic:blipFill>
                  <pic:spPr>
                    <a:xfrm>
                      <a:off x="0" y="0"/>
                      <a:ext cx="5272405" cy="3517900"/>
                    </a:xfrm>
                    <a:prstGeom prst="rect">
                      <a:avLst/>
                    </a:prstGeom>
                    <a:noFill/>
                    <a:ln>
                      <a:noFill/>
                    </a:ln>
                  </pic:spPr>
                </pic:pic>
              </a:graphicData>
            </a:graphic>
          </wp:inline>
        </w:drawing>
      </w:r>
    </w:p>
    <w:p w:rsidR="00372A39" w:rsidRDefault="00F54C2B">
      <w:pPr>
        <w:pStyle w:val="af5"/>
      </w:pPr>
      <w:r>
        <w:t>图</w:t>
      </w:r>
      <w:r>
        <w:rPr>
          <w:rFonts w:hint="eastAsia"/>
        </w:rPr>
        <w:t>1</w:t>
      </w:r>
      <w:r>
        <w:t xml:space="preserve"> </w:t>
      </w:r>
      <w:r>
        <w:t>梅州市能源消费（一次能源消费）占比结构</w:t>
      </w:r>
    </w:p>
    <w:p w:rsidR="00372A39" w:rsidRDefault="00372A39"/>
    <w:p w:rsidR="00372A39" w:rsidRDefault="00F54C2B">
      <w:pPr>
        <w:pStyle w:val="af1"/>
        <w:ind w:firstLine="562"/>
        <w:rPr>
          <w:rFonts w:hint="default"/>
        </w:rPr>
      </w:pPr>
      <w:r>
        <w:rPr>
          <w:b/>
          <w:bCs/>
        </w:rPr>
        <w:t>——能源高效、洁净利用有序推进。</w:t>
      </w:r>
      <w:r w:rsidR="00DB2B78">
        <w:rPr>
          <w:bCs/>
          <w:color w:val="333333"/>
        </w:rPr>
        <w:t>“十三五”期间，</w:t>
      </w:r>
      <w:r>
        <w:t>我市积极调整电源装机结构，加快推进清洁能源发电项目建设。继续推进能源领域供给侧改革，关停梅县电厂、兴宁电厂的落后燃煤发电机组；有序建设集中式光伏电站</w:t>
      </w:r>
      <w:r>
        <w:t>6</w:t>
      </w:r>
      <w:r>
        <w:t>个共</w:t>
      </w:r>
      <w:r>
        <w:t>13.3</w:t>
      </w:r>
      <w:r>
        <w:rPr>
          <w:bCs/>
          <w:color w:val="333333"/>
        </w:rPr>
        <w:t>万千瓦</w:t>
      </w:r>
      <w:r>
        <w:t>；推进梅州</w:t>
      </w:r>
      <w:r w:rsidR="00DB2B78">
        <w:t>（五华）</w:t>
      </w:r>
      <w:r>
        <w:t>抽水蓄能电站一期建设；推进广东粤电平远茅坪风电场项目建设。我市清洁电源装机比例达到</w:t>
      </w:r>
      <w:r>
        <w:t>42.61%</w:t>
      </w:r>
      <w:r w:rsidR="00DB2B78">
        <w:t>，圆满</w:t>
      </w:r>
      <w:r>
        <w:t>完成梅州市“十三五”能源发展目标</w:t>
      </w:r>
      <w:r>
        <w:t>38.1%</w:t>
      </w:r>
      <w:r>
        <w:t>，工作成效显著。</w:t>
      </w:r>
    </w:p>
    <w:p w:rsidR="00372A39" w:rsidRDefault="00F54C2B">
      <w:pPr>
        <w:pStyle w:val="af1"/>
        <w:ind w:firstLine="562"/>
        <w:rPr>
          <w:rFonts w:hint="default"/>
        </w:rPr>
      </w:pPr>
      <w:r>
        <w:rPr>
          <w:b/>
          <w:color w:val="333333"/>
        </w:rPr>
        <w:t>——</w:t>
      </w:r>
      <w:bookmarkStart w:id="38" w:name="_Toc25565"/>
      <w:r>
        <w:rPr>
          <w:b/>
          <w:color w:val="333333"/>
        </w:rPr>
        <w:t>能源普惠</w:t>
      </w:r>
      <w:bookmarkEnd w:id="38"/>
      <w:r>
        <w:rPr>
          <w:b/>
          <w:color w:val="333333"/>
        </w:rPr>
        <w:t>促民生改善。</w:t>
      </w:r>
      <w:r>
        <w:rPr>
          <w:bCs/>
          <w:color w:val="333333"/>
        </w:rPr>
        <w:t>“十三五”期间，我市农村电网、城镇燃气覆盖率继续提升，能源公共服务水平显著提高，实现基本用能服务便利化，城乡居民人均生活用电水平差距显著缩小，全市天然气普及率达到</w:t>
      </w:r>
      <w:r>
        <w:rPr>
          <w:bCs/>
          <w:color w:val="333333"/>
        </w:rPr>
        <w:t>54.3%</w:t>
      </w:r>
      <w:r>
        <w:rPr>
          <w:bCs/>
          <w:color w:val="333333"/>
        </w:rPr>
        <w:t>。我市积极发展绿色能源，助力打赢脱贫攻坚战，建设美丽乡村。我市已建设光伏发电类产业扶贫项目</w:t>
      </w:r>
      <w:r>
        <w:rPr>
          <w:bCs/>
          <w:color w:val="333333"/>
        </w:rPr>
        <w:t>173</w:t>
      </w:r>
      <w:r>
        <w:rPr>
          <w:bCs/>
          <w:color w:val="333333"/>
        </w:rPr>
        <w:t>个，投资</w:t>
      </w:r>
      <w:r>
        <w:rPr>
          <w:bCs/>
          <w:color w:val="333333"/>
        </w:rPr>
        <w:lastRenderedPageBreak/>
        <w:t>5.21</w:t>
      </w:r>
      <w:r>
        <w:rPr>
          <w:bCs/>
          <w:color w:val="333333"/>
        </w:rPr>
        <w:t>亿元，发电规模</w:t>
      </w:r>
      <w:r>
        <w:rPr>
          <w:bCs/>
          <w:color w:val="333333"/>
        </w:rPr>
        <w:t>9.9</w:t>
      </w:r>
      <w:r>
        <w:rPr>
          <w:bCs/>
          <w:color w:val="333333"/>
        </w:rPr>
        <w:t>万千瓦，带动贫困户</w:t>
      </w:r>
      <w:r>
        <w:rPr>
          <w:bCs/>
          <w:color w:val="333333"/>
        </w:rPr>
        <w:t>8356</w:t>
      </w:r>
      <w:r>
        <w:rPr>
          <w:bCs/>
          <w:color w:val="333333"/>
        </w:rPr>
        <w:t>户共</w:t>
      </w:r>
      <w:r>
        <w:rPr>
          <w:bCs/>
          <w:color w:val="333333"/>
        </w:rPr>
        <w:t>29448</w:t>
      </w:r>
      <w:r>
        <w:rPr>
          <w:bCs/>
          <w:color w:val="333333"/>
        </w:rPr>
        <w:t>人，将为贫困户年人均增收超过</w:t>
      </w:r>
      <w:r>
        <w:rPr>
          <w:bCs/>
          <w:color w:val="333333"/>
        </w:rPr>
        <w:t>1000</w:t>
      </w:r>
      <w:r>
        <w:rPr>
          <w:bCs/>
          <w:color w:val="333333"/>
        </w:rPr>
        <w:t>元。</w:t>
      </w:r>
    </w:p>
    <w:p w:rsidR="00372A39" w:rsidRDefault="00F54C2B">
      <w:pPr>
        <w:pStyle w:val="af0"/>
        <w:spacing w:before="290" w:after="290"/>
        <w:rPr>
          <w:rFonts w:hint="default"/>
        </w:rPr>
      </w:pPr>
      <w:bookmarkStart w:id="39" w:name="_Toc32293_WPSOffice_Level2"/>
      <w:r>
        <w:t>第二节存在不足</w:t>
      </w:r>
      <w:bookmarkEnd w:id="39"/>
    </w:p>
    <w:p w:rsidR="00372A39" w:rsidRDefault="00F54C2B">
      <w:pPr>
        <w:pStyle w:val="af1"/>
        <w:rPr>
          <w:rFonts w:hint="default"/>
          <w:bCs/>
          <w:color w:val="333333"/>
        </w:rPr>
      </w:pPr>
      <w:r>
        <w:rPr>
          <w:bCs/>
          <w:color w:val="333333"/>
        </w:rPr>
        <w:t>“十三五”期间我市能源发展成效显著，但对照省内珠三角城市群能源发展与国外先进水平，还存在一些不足与问题。</w:t>
      </w:r>
    </w:p>
    <w:p w:rsidR="00372A39" w:rsidRDefault="00F54C2B">
      <w:pPr>
        <w:pStyle w:val="af1"/>
        <w:ind w:firstLine="562"/>
        <w:rPr>
          <w:rFonts w:hint="default"/>
          <w:bCs/>
          <w:color w:val="333333"/>
        </w:rPr>
      </w:pPr>
      <w:r>
        <w:rPr>
          <w:b/>
          <w:color w:val="333333"/>
        </w:rPr>
        <w:t>能源供应方面，能源保障能力有待加强。一是</w:t>
      </w:r>
      <w:r>
        <w:rPr>
          <w:bCs/>
          <w:color w:val="333333"/>
        </w:rPr>
        <w:t>输配电系统保障能力不足，我市现仅有</w:t>
      </w:r>
      <w:r>
        <w:rPr>
          <w:bCs/>
          <w:color w:val="333333"/>
        </w:rPr>
        <w:t>500</w:t>
      </w:r>
      <w:r>
        <w:rPr>
          <w:bCs/>
          <w:color w:val="333333"/>
        </w:rPr>
        <w:t>千伏变电站一座，</w:t>
      </w:r>
      <w:r>
        <w:rPr>
          <w:bCs/>
          <w:color w:val="333333"/>
        </w:rPr>
        <w:t>500</w:t>
      </w:r>
      <w:r>
        <w:rPr>
          <w:bCs/>
          <w:color w:val="333333"/>
        </w:rPr>
        <w:t>千伏线路交叉存在跨越现象，有较大事故电网基准风险；</w:t>
      </w:r>
      <w:r>
        <w:rPr>
          <w:bCs/>
          <w:color w:val="333333"/>
        </w:rPr>
        <w:t>220</w:t>
      </w:r>
      <w:r>
        <w:rPr>
          <w:bCs/>
          <w:color w:val="333333"/>
        </w:rPr>
        <w:t>千伏尚有两个单主变站点，供电可靠性低；网架结构不清晰、不完善，部分断面受限。与此相对的是，我市主要电源与电力负荷增长点存在空间上错配，现有电网体系难以满足我市范围内的电力调配要求和广东省关于加强东西两翼向珠三角跨区送电的规划部署，电力输配基础设施水平有待进一步提升。</w:t>
      </w:r>
      <w:r>
        <w:rPr>
          <w:b/>
          <w:color w:val="333333"/>
        </w:rPr>
        <w:t>二是</w:t>
      </w:r>
      <w:r>
        <w:rPr>
          <w:bCs/>
          <w:color w:val="333333"/>
        </w:rPr>
        <w:t>油气供配体系不完善，</w:t>
      </w:r>
      <w:r w:rsidR="00DB2B78">
        <w:rPr>
          <w:bCs/>
          <w:color w:val="333333"/>
        </w:rPr>
        <w:t>天然气主干管网“县县通工程”只通达我市梅州城区、丰顺县和五华县，</w:t>
      </w:r>
      <w:r>
        <w:rPr>
          <w:bCs/>
          <w:color w:val="333333"/>
        </w:rPr>
        <w:t>兴宁、蕉岭、平远和大埔四县</w:t>
      </w:r>
      <w:r w:rsidR="00DB2B78">
        <w:rPr>
          <w:bCs/>
          <w:color w:val="333333"/>
        </w:rPr>
        <w:t>（</w:t>
      </w:r>
      <w:r>
        <w:rPr>
          <w:bCs/>
          <w:color w:val="333333"/>
        </w:rPr>
        <w:t>市）尚未覆盖天然气</w:t>
      </w:r>
      <w:r w:rsidR="00DB2B78">
        <w:rPr>
          <w:bCs/>
          <w:color w:val="333333"/>
        </w:rPr>
        <w:t>主干</w:t>
      </w:r>
      <w:r>
        <w:rPr>
          <w:bCs/>
          <w:color w:val="333333"/>
        </w:rPr>
        <w:t>管道，且部分县</w:t>
      </w:r>
      <w:r w:rsidR="00DB2B78">
        <w:rPr>
          <w:bCs/>
          <w:color w:val="333333"/>
        </w:rPr>
        <w:t>（市、区</w:t>
      </w:r>
      <w:r>
        <w:rPr>
          <w:bCs/>
          <w:color w:val="333333"/>
        </w:rPr>
        <w:t>）的城镇</w:t>
      </w:r>
      <w:r w:rsidR="00DB2B78">
        <w:rPr>
          <w:bCs/>
          <w:color w:val="333333"/>
        </w:rPr>
        <w:t>天然气</w:t>
      </w:r>
      <w:r>
        <w:rPr>
          <w:bCs/>
          <w:color w:val="333333"/>
        </w:rPr>
        <w:t>管网覆盖率低，天然气在梅州市全域范围内的通达性不充分。进而也导致梅州市整体气价偏高，在优化能源结构，提升清洁能源占比方面存在基础设施较为匮乏的问题。</w:t>
      </w:r>
    </w:p>
    <w:p w:rsidR="00372A39" w:rsidRPr="00CC4D86" w:rsidRDefault="00F54C2B" w:rsidP="00CC4D86">
      <w:pPr>
        <w:pStyle w:val="af1"/>
        <w:rPr>
          <w:rFonts w:hint="default"/>
          <w:bCs/>
          <w:color w:val="333333"/>
        </w:rPr>
      </w:pPr>
      <w:r w:rsidRPr="00CC4D86">
        <w:rPr>
          <w:bCs/>
          <w:color w:val="333333"/>
        </w:rPr>
        <w:t>能源消费方面，能源结构和利用效率仍需进一步优化。一是我市一次能源消费中煤炭消费占比达到</w:t>
      </w:r>
      <w:r w:rsidRPr="00CC4D86">
        <w:rPr>
          <w:bCs/>
          <w:color w:val="333333"/>
        </w:rPr>
        <w:t>59.56%</w:t>
      </w:r>
      <w:r w:rsidRPr="00CC4D86">
        <w:rPr>
          <w:bCs/>
          <w:color w:val="333333"/>
        </w:rPr>
        <w:t>，仍旧偏高，同时天然气和可再生能源等清洁能源比重较低。二是梅州市单位</w:t>
      </w:r>
      <w:r w:rsidRPr="00CC4D86">
        <w:rPr>
          <w:bCs/>
          <w:color w:val="333333"/>
        </w:rPr>
        <w:t>GDP</w:t>
      </w:r>
      <w:r w:rsidRPr="00CC4D86">
        <w:rPr>
          <w:bCs/>
          <w:color w:val="333333"/>
        </w:rPr>
        <w:t>能耗在“十三五”期间不降反升，</w:t>
      </w:r>
      <w:r w:rsidRPr="00CC4D86">
        <w:rPr>
          <w:bCs/>
          <w:color w:val="333333"/>
        </w:rPr>
        <w:t>2019</w:t>
      </w:r>
      <w:r w:rsidRPr="00CC4D86">
        <w:rPr>
          <w:bCs/>
          <w:color w:val="333333"/>
        </w:rPr>
        <w:t>年单位</w:t>
      </w:r>
      <w:r w:rsidRPr="00CC4D86">
        <w:rPr>
          <w:bCs/>
          <w:color w:val="333333"/>
        </w:rPr>
        <w:t>GDP</w:t>
      </w:r>
      <w:r w:rsidRPr="00CC4D86">
        <w:rPr>
          <w:bCs/>
          <w:color w:val="333333"/>
        </w:rPr>
        <w:t>能耗为</w:t>
      </w:r>
      <w:r w:rsidRPr="00CC4D86">
        <w:rPr>
          <w:bCs/>
          <w:color w:val="333333"/>
        </w:rPr>
        <w:t>0.624</w:t>
      </w:r>
      <w:r w:rsidRPr="00CC4D86">
        <w:rPr>
          <w:bCs/>
          <w:color w:val="333333"/>
        </w:rPr>
        <w:t>吨标准煤</w:t>
      </w:r>
      <w:r w:rsidRPr="00CC4D86">
        <w:rPr>
          <w:bCs/>
          <w:color w:val="333333"/>
        </w:rPr>
        <w:t>/</w:t>
      </w:r>
      <w:r w:rsidRPr="00CC4D86">
        <w:rPr>
          <w:bCs/>
          <w:color w:val="333333"/>
        </w:rPr>
        <w:t>万元。在梅州市的企业以非金属矿物质制品业和燃煤电力企业为主，两大行</w:t>
      </w:r>
      <w:r w:rsidRPr="00CC4D86">
        <w:rPr>
          <w:bCs/>
          <w:color w:val="333333"/>
        </w:rPr>
        <w:lastRenderedPageBreak/>
        <w:t>业累计使用能源约占工业用能的</w:t>
      </w:r>
      <w:r w:rsidRPr="00CC4D86">
        <w:rPr>
          <w:bCs/>
          <w:color w:val="333333"/>
        </w:rPr>
        <w:t>85%</w:t>
      </w:r>
      <w:r w:rsidRPr="00CC4D86">
        <w:rPr>
          <w:bCs/>
          <w:color w:val="333333"/>
        </w:rPr>
        <w:t>，仅贡献约</w:t>
      </w:r>
      <w:r w:rsidRPr="00CC4D86">
        <w:rPr>
          <w:bCs/>
          <w:color w:val="333333"/>
        </w:rPr>
        <w:t>24%</w:t>
      </w:r>
      <w:r w:rsidRPr="00CC4D86">
        <w:rPr>
          <w:bCs/>
          <w:color w:val="333333"/>
        </w:rPr>
        <w:t>的工业增加值。产业结构亟待调整至低能耗、高附加值的新型工业行业中。</w:t>
      </w:r>
    </w:p>
    <w:p w:rsidR="00372A39" w:rsidRDefault="00F54C2B">
      <w:pPr>
        <w:pStyle w:val="af1"/>
        <w:ind w:firstLine="562"/>
        <w:rPr>
          <w:rFonts w:hint="default"/>
          <w:bCs/>
          <w:color w:val="333333"/>
        </w:rPr>
      </w:pPr>
      <w:r>
        <w:rPr>
          <w:b/>
          <w:color w:val="333333"/>
        </w:rPr>
        <w:t>能源科技发展方面，能源新技术应用力度不足。</w:t>
      </w:r>
      <w:r>
        <w:rPr>
          <w:bCs/>
          <w:color w:val="333333"/>
        </w:rPr>
        <w:t>与能源科技发达地区和能源改革创新的要求相比，我市在能源发展新技术、新模式、新业态应用上相对落后。我市能源新技术应用与产业发展结合力度不足，氢能、储能、新能源汽车等能源新技术的推广应用场景较少，相关配套基础设施建设进度较为缓慢。能源数字化、信息化存在短板，已建设能源网络管理平台及在线监测系统功能不全面，节能管理有待精细化。</w:t>
      </w:r>
    </w:p>
    <w:p w:rsidR="00372A39" w:rsidRDefault="00F54C2B">
      <w:pPr>
        <w:pStyle w:val="af0"/>
        <w:spacing w:before="290" w:after="290"/>
        <w:rPr>
          <w:rFonts w:hint="default"/>
        </w:rPr>
      </w:pPr>
      <w:bookmarkStart w:id="40" w:name="_Toc7525_WPSOffice_Level2"/>
      <w:r>
        <w:t>第三节面临形势</w:t>
      </w:r>
      <w:bookmarkEnd w:id="40"/>
    </w:p>
    <w:p w:rsidR="00372A39" w:rsidRDefault="00F54C2B">
      <w:pPr>
        <w:pStyle w:val="af1"/>
        <w:rPr>
          <w:rFonts w:hint="default"/>
          <w:bCs/>
          <w:color w:val="333333"/>
        </w:rPr>
      </w:pPr>
      <w:r>
        <w:rPr>
          <w:bCs/>
          <w:color w:val="333333"/>
        </w:rPr>
        <w:t>“十四五”时期，我市能源发展的国内外形势日趋复杂，我市能源结构优化、安全保障、清洁高效、助力经济等方面的压力较大，能源发展既面临新的形势，也面临新的要求。</w:t>
      </w:r>
    </w:p>
    <w:p w:rsidR="00372A39" w:rsidRDefault="00F54C2B">
      <w:pPr>
        <w:pStyle w:val="af2"/>
        <w:rPr>
          <w:rFonts w:ascii="楷体" w:eastAsia="楷体" w:hAnsi="楷体" w:cs="楷体" w:hint="default"/>
          <w:b w:val="0"/>
          <w:color w:val="333333"/>
        </w:rPr>
      </w:pPr>
      <w:r>
        <w:rPr>
          <w:rFonts w:ascii="楷体" w:eastAsia="楷体" w:hAnsi="楷体" w:cs="楷体"/>
          <w:b w:val="0"/>
          <w:color w:val="333333"/>
        </w:rPr>
        <w:t>（一）新形势。</w:t>
      </w:r>
    </w:p>
    <w:p w:rsidR="00372A39" w:rsidRDefault="00F54C2B">
      <w:pPr>
        <w:pStyle w:val="af1"/>
        <w:ind w:firstLine="562"/>
        <w:rPr>
          <w:rFonts w:hint="default"/>
          <w:bCs/>
          <w:color w:val="333333"/>
        </w:rPr>
      </w:pPr>
      <w:r>
        <w:rPr>
          <w:b/>
          <w:color w:val="333333"/>
        </w:rPr>
        <w:t>全球能源供需格局发生重大调整，供需形势相对宽松。</w:t>
      </w:r>
      <w:r>
        <w:rPr>
          <w:bCs/>
          <w:color w:val="333333"/>
        </w:rPr>
        <w:t>随着新兴供应源不断增加和美国页岩油气革命的影响，世界油气生产供应形成“重心西移”“多中心化”的发展特点。同时，经济的快速发展使得亚洲新兴经济体成为能源消费增长的主力军。可再生能源的快速增长进一步推动全球能源供应的多元化发展，导致化石能源需求减缓，全球供需形势相对宽松。</w:t>
      </w:r>
    </w:p>
    <w:p w:rsidR="00372A39" w:rsidRDefault="00F54C2B">
      <w:pPr>
        <w:pStyle w:val="af1"/>
        <w:ind w:firstLine="562"/>
        <w:rPr>
          <w:rFonts w:hint="default"/>
          <w:bCs/>
          <w:color w:val="333333"/>
        </w:rPr>
      </w:pPr>
      <w:r>
        <w:rPr>
          <w:b/>
          <w:color w:val="333333"/>
        </w:rPr>
        <w:t>能源清洁低碳化发展、经济社会发展全面绿色转型趋势不可逆转。</w:t>
      </w:r>
      <w:r>
        <w:rPr>
          <w:bCs/>
          <w:color w:val="333333"/>
        </w:rPr>
        <w:t>面对气候变化、环境风险挑战、能源资源约束等日益严峻的全球问题，全球能源加速向低碳化、无碳化方向推进。未来全球能源供应将逐步</w:t>
      </w:r>
      <w:r>
        <w:rPr>
          <w:bCs/>
          <w:color w:val="333333"/>
        </w:rPr>
        <w:lastRenderedPageBreak/>
        <w:t>形成以非化石能源为主体的结构，可再生能源进入重大发展机遇期，为我市未来水能、太阳能、风能、生物质能等可再生能源的发展和应用创造了良好的环境。</w:t>
      </w:r>
    </w:p>
    <w:p w:rsidR="00372A39" w:rsidRDefault="00F54C2B">
      <w:pPr>
        <w:pStyle w:val="af1"/>
        <w:ind w:firstLine="562"/>
        <w:rPr>
          <w:rFonts w:hint="default"/>
          <w:bCs/>
          <w:color w:val="333333"/>
        </w:rPr>
      </w:pPr>
      <w:r>
        <w:rPr>
          <w:b/>
          <w:color w:val="333333"/>
        </w:rPr>
        <w:t>能源科技创新高度活跃，新兴能源技术加快迭代。</w:t>
      </w:r>
      <w:r>
        <w:rPr>
          <w:rFonts w:hint="default"/>
          <w:bCs/>
          <w:color w:val="333333"/>
        </w:rPr>
        <w:t>随着</w:t>
      </w:r>
      <w:r>
        <w:rPr>
          <w:bCs/>
          <w:color w:val="333333"/>
        </w:rPr>
        <w:t>新能源发电、先进储能、</w:t>
      </w:r>
      <w:r>
        <w:rPr>
          <w:rFonts w:hint="default"/>
          <w:bCs/>
          <w:color w:val="333333"/>
        </w:rPr>
        <w:t>风电、生物质技术、氢能</w:t>
      </w:r>
      <w:r>
        <w:rPr>
          <w:bCs/>
          <w:color w:val="333333"/>
        </w:rPr>
        <w:t>利用</w:t>
      </w:r>
      <w:r>
        <w:rPr>
          <w:rFonts w:hint="default"/>
          <w:bCs/>
          <w:color w:val="333333"/>
        </w:rPr>
        <w:t>的进一步完善和推广，加上</w:t>
      </w:r>
      <w:r>
        <w:rPr>
          <w:rFonts w:hint="default"/>
          <w:bCs/>
          <w:color w:val="333333"/>
        </w:rPr>
        <w:t>5G</w:t>
      </w:r>
      <w:r>
        <w:rPr>
          <w:rFonts w:hint="default"/>
          <w:bCs/>
          <w:color w:val="333333"/>
        </w:rPr>
        <w:t>、</w:t>
      </w:r>
      <w:r>
        <w:rPr>
          <w:rFonts w:hint="default"/>
          <w:bCs/>
          <w:color w:val="333333"/>
        </w:rPr>
        <w:t>AI</w:t>
      </w:r>
      <w:r>
        <w:rPr>
          <w:rFonts w:hint="default"/>
          <w:bCs/>
          <w:color w:val="333333"/>
        </w:rPr>
        <w:t>等</w:t>
      </w:r>
      <w:r>
        <w:rPr>
          <w:bCs/>
          <w:color w:val="333333"/>
        </w:rPr>
        <w:t>互联网技术</w:t>
      </w:r>
      <w:r>
        <w:rPr>
          <w:rFonts w:hint="default"/>
          <w:bCs/>
          <w:color w:val="333333"/>
        </w:rPr>
        <w:t>的普及</w:t>
      </w:r>
      <w:r>
        <w:rPr>
          <w:bCs/>
          <w:color w:val="333333"/>
        </w:rPr>
        <w:t>，</w:t>
      </w:r>
      <w:r>
        <w:rPr>
          <w:rFonts w:hint="default"/>
          <w:bCs/>
          <w:color w:val="333333"/>
        </w:rPr>
        <w:t>信息化、数字化、共享化成为能源革命的发展趋势，以互联网信息技术创新为主要方向的数字革命将成为能源革命的重要驱动力。</w:t>
      </w:r>
      <w:r>
        <w:rPr>
          <w:bCs/>
          <w:color w:val="333333"/>
        </w:rPr>
        <w:t>科技创新逐渐成为能源转型发展的重要动力源，</w:t>
      </w:r>
      <w:r>
        <w:rPr>
          <w:rFonts w:hint="default"/>
          <w:bCs/>
          <w:color w:val="333333"/>
        </w:rPr>
        <w:t>是</w:t>
      </w:r>
      <w:r>
        <w:rPr>
          <w:bCs/>
          <w:color w:val="333333"/>
        </w:rPr>
        <w:t>我</w:t>
      </w:r>
      <w:r>
        <w:rPr>
          <w:rFonts w:hint="default"/>
          <w:bCs/>
          <w:color w:val="333333"/>
        </w:rPr>
        <w:t>市在能源发展领域实现弯道超车的一次重要机遇。</w:t>
      </w:r>
    </w:p>
    <w:p w:rsidR="00372A39" w:rsidRDefault="00F54C2B">
      <w:pPr>
        <w:pStyle w:val="af1"/>
        <w:ind w:firstLine="562"/>
        <w:rPr>
          <w:rFonts w:hint="default"/>
        </w:rPr>
      </w:pPr>
      <w:r>
        <w:rPr>
          <w:rFonts w:hint="default"/>
          <w:b/>
          <w:color w:val="333333"/>
        </w:rPr>
        <w:t>积极融入粤港澳大湾区为</w:t>
      </w:r>
      <w:r>
        <w:rPr>
          <w:b/>
          <w:color w:val="333333"/>
        </w:rPr>
        <w:t>我市</w:t>
      </w:r>
      <w:r>
        <w:rPr>
          <w:rFonts w:hint="default"/>
          <w:b/>
          <w:color w:val="333333"/>
        </w:rPr>
        <w:t>能源发展工作创造有利条件</w:t>
      </w:r>
      <w:r>
        <w:rPr>
          <w:b/>
          <w:color w:val="333333"/>
        </w:rPr>
        <w:t>。</w:t>
      </w:r>
      <w:r>
        <w:rPr>
          <w:bCs/>
          <w:color w:val="333333"/>
        </w:rPr>
        <w:t>粤港澳大湾区的规划建设是我国区域经济一体化发展的高级阶段。湾区经济具有开放的经济结构、高效的资源配置能力、强大的集聚外溢功能，是引领技术变革的领头羊和带动区域发展的重要增长极。梅州处于大湾区辐射带动的外围，有条件争取粤港澳大湾区向外辐射的人才、学科、产业、资本资源，充分利用自身条件，依托日益完善的交通体系，主动承接湾区先进制造业转移和溢出，加快传统优势产业的转型升级，大力发展先进信息技术、生物医药、新能源、新材料、高端装备、绿色环保等新兴产业，转变梅州现有产业结构，缓解资源环境压力，为能源发展工作创造有利条件。</w:t>
      </w:r>
    </w:p>
    <w:p w:rsidR="00372A39" w:rsidRDefault="00F54C2B">
      <w:pPr>
        <w:pStyle w:val="af2"/>
        <w:rPr>
          <w:rFonts w:ascii="楷体" w:eastAsia="楷体" w:hAnsi="楷体" w:cs="楷体" w:hint="default"/>
          <w:b w:val="0"/>
          <w:color w:val="333333"/>
        </w:rPr>
      </w:pPr>
      <w:r>
        <w:rPr>
          <w:rFonts w:ascii="楷体" w:eastAsia="楷体" w:hAnsi="楷体" w:cs="楷体"/>
          <w:b w:val="0"/>
          <w:color w:val="333333"/>
        </w:rPr>
        <w:t>（二）新要求。</w:t>
      </w:r>
    </w:p>
    <w:p w:rsidR="00372A39" w:rsidRDefault="00F54C2B">
      <w:pPr>
        <w:pStyle w:val="af1"/>
        <w:rPr>
          <w:rFonts w:hint="default"/>
          <w:bCs/>
          <w:color w:val="333333"/>
        </w:rPr>
      </w:pPr>
      <w:r>
        <w:rPr>
          <w:bCs/>
          <w:color w:val="333333"/>
        </w:rPr>
        <w:t>我国经济社会正迈入发展新阶段，能源发展从“以需定供”能源供给全力满足需求的粗放式能源发展阶段逐渐转变为以能源绿色高效利用、满足人民美好生活需求为导向的新发展阶段。</w:t>
      </w:r>
    </w:p>
    <w:p w:rsidR="00372A39" w:rsidRDefault="00F54C2B">
      <w:pPr>
        <w:pStyle w:val="af1"/>
        <w:ind w:firstLine="562"/>
        <w:rPr>
          <w:rFonts w:hint="default"/>
          <w:bCs/>
          <w:color w:val="333333"/>
        </w:rPr>
      </w:pPr>
      <w:r>
        <w:rPr>
          <w:b/>
          <w:color w:val="333333"/>
        </w:rPr>
        <w:t>坚持清洁低碳导向。</w:t>
      </w:r>
      <w:r>
        <w:rPr>
          <w:bCs/>
          <w:color w:val="333333"/>
        </w:rPr>
        <w:t>绿色发展是新发展理念的重要组成部分，是</w:t>
      </w:r>
      <w:r>
        <w:rPr>
          <w:bCs/>
          <w:color w:val="333333"/>
        </w:rPr>
        <w:lastRenderedPageBreak/>
        <w:t>永续发展的必要条件，是高质量发展的基本要求。</w:t>
      </w:r>
      <w:r>
        <w:rPr>
          <w:bCs/>
          <w:color w:val="333333"/>
        </w:rPr>
        <w:t>2020</w:t>
      </w:r>
      <w:r>
        <w:rPr>
          <w:bCs/>
          <w:color w:val="333333"/>
        </w:rPr>
        <w:t>年</w:t>
      </w:r>
      <w:r>
        <w:rPr>
          <w:bCs/>
          <w:color w:val="333333"/>
        </w:rPr>
        <w:t>9</w:t>
      </w:r>
      <w:r>
        <w:rPr>
          <w:bCs/>
          <w:color w:val="333333"/>
        </w:rPr>
        <w:t>月</w:t>
      </w:r>
      <w:r>
        <w:rPr>
          <w:bCs/>
          <w:color w:val="333333"/>
        </w:rPr>
        <w:t>22</w:t>
      </w:r>
      <w:r>
        <w:rPr>
          <w:bCs/>
          <w:color w:val="333333"/>
        </w:rPr>
        <w:t>日，习近平总书记在第</w:t>
      </w:r>
      <w:r>
        <w:rPr>
          <w:bCs/>
          <w:color w:val="333333"/>
        </w:rPr>
        <w:t>75</w:t>
      </w:r>
      <w:r>
        <w:rPr>
          <w:bCs/>
          <w:color w:val="333333"/>
        </w:rPr>
        <w:t>届联合国大会一般性辩论上发表重要讲话时宣布我国将更新应对气候变化国家自主贡献目标，二氧化碳排放力争于</w:t>
      </w:r>
      <w:r>
        <w:rPr>
          <w:bCs/>
          <w:color w:val="333333"/>
        </w:rPr>
        <w:t>2030</w:t>
      </w:r>
      <w:r>
        <w:rPr>
          <w:bCs/>
          <w:color w:val="333333"/>
        </w:rPr>
        <w:t>年前达到峰值，努力争取</w:t>
      </w:r>
      <w:r>
        <w:rPr>
          <w:bCs/>
          <w:color w:val="333333"/>
        </w:rPr>
        <w:t>2060</w:t>
      </w:r>
      <w:r>
        <w:rPr>
          <w:bCs/>
          <w:color w:val="333333"/>
        </w:rPr>
        <w:t>年前实现碳中和，</w:t>
      </w:r>
      <w:r>
        <w:rPr>
          <w:bCs/>
          <w:color w:val="333333"/>
        </w:rPr>
        <w:t>12</w:t>
      </w:r>
      <w:r>
        <w:rPr>
          <w:bCs/>
          <w:color w:val="333333"/>
        </w:rPr>
        <w:t>月</w:t>
      </w:r>
      <w:r>
        <w:rPr>
          <w:bCs/>
          <w:color w:val="333333"/>
        </w:rPr>
        <w:t>12</w:t>
      </w:r>
      <w:r>
        <w:rPr>
          <w:bCs/>
          <w:color w:val="333333"/>
        </w:rPr>
        <w:t>日，习近平总书记在气候雄心峰会上进一步宣布，到</w:t>
      </w:r>
      <w:r>
        <w:rPr>
          <w:bCs/>
          <w:color w:val="333333"/>
        </w:rPr>
        <w:t>2030</w:t>
      </w:r>
      <w:r>
        <w:rPr>
          <w:bCs/>
          <w:color w:val="333333"/>
        </w:rPr>
        <w:t>年，中国单位国内生产总值二氧化碳排放将比</w:t>
      </w:r>
      <w:r>
        <w:rPr>
          <w:bCs/>
          <w:color w:val="333333"/>
        </w:rPr>
        <w:t>2005</w:t>
      </w:r>
      <w:r>
        <w:rPr>
          <w:bCs/>
          <w:color w:val="333333"/>
        </w:rPr>
        <w:t>年下降</w:t>
      </w:r>
      <w:r>
        <w:rPr>
          <w:bCs/>
          <w:color w:val="333333"/>
        </w:rPr>
        <w:t>65%</w:t>
      </w:r>
      <w:r>
        <w:rPr>
          <w:bCs/>
          <w:color w:val="333333"/>
        </w:rPr>
        <w:t>以上，非化石能源占一次能源消费比重将达到</w:t>
      </w:r>
      <w:r>
        <w:rPr>
          <w:bCs/>
          <w:color w:val="333333"/>
        </w:rPr>
        <w:t>25%</w:t>
      </w:r>
      <w:r>
        <w:rPr>
          <w:bCs/>
          <w:color w:val="333333"/>
        </w:rPr>
        <w:t>左右，风电、太阳能发电总装机容量将达到</w:t>
      </w:r>
      <w:r>
        <w:rPr>
          <w:bCs/>
          <w:color w:val="333333"/>
        </w:rPr>
        <w:t>12</w:t>
      </w:r>
      <w:r>
        <w:rPr>
          <w:bCs/>
          <w:color w:val="333333"/>
        </w:rPr>
        <w:t>亿千瓦以上。这意味着我国清洁低碳转型将加速演进，经济社会将迎来全面低碳变革。我市需坚持以清洁低碳为导向，大力发展非化石能源，进一步加快天然气推广利用以推动能源结构低碳转型。</w:t>
      </w:r>
    </w:p>
    <w:p w:rsidR="00372A39" w:rsidRDefault="00F54C2B">
      <w:pPr>
        <w:pStyle w:val="af1"/>
        <w:ind w:firstLine="562"/>
        <w:rPr>
          <w:rFonts w:hint="default"/>
          <w:bCs/>
          <w:color w:val="333333"/>
        </w:rPr>
      </w:pPr>
      <w:r>
        <w:rPr>
          <w:b/>
          <w:color w:val="333333"/>
        </w:rPr>
        <w:t>坚持创新科技引领。</w:t>
      </w:r>
      <w:r>
        <w:t>随着科学技术进步，信息化、数字化、共享化将成为能源技术的发展趋势，以互联网信息技术创新为主要方向的数字革命将成为能源革命的重要驱动力。我省是国家数字经济创新发展试验区，是国家推进智慧能源创新试点的前沿阵地。因此，我市需把握好区位优势、坚持科技创新引领，结合国家、省在能源领域数字化、网络化革命方面的要求，积极推动“互联网</w:t>
      </w:r>
      <w:r>
        <w:t>+</w:t>
      </w:r>
      <w:r>
        <w:t>”智慧能源建设，推动能源生产、消费、技术与体制机制方面的变革。</w:t>
      </w:r>
    </w:p>
    <w:p w:rsidR="00372A39" w:rsidRDefault="00F54C2B">
      <w:pPr>
        <w:pStyle w:val="af1"/>
        <w:ind w:firstLine="562"/>
        <w:rPr>
          <w:rFonts w:hint="default"/>
        </w:rPr>
      </w:pPr>
      <w:r>
        <w:rPr>
          <w:b/>
          <w:bCs/>
        </w:rPr>
        <w:t>坚持能源安全保障。</w:t>
      </w:r>
      <w:r>
        <w:t>当前，受供求关系、地缘政治、投机炒作等多重因素影响，国际能源价格大幅波动。梅州市已彻底退出煤矿行业，辖区内无原油生产和加工产业，除部分水力发电外，能源对外依存度很高，易受价格波动、交通运输、极端天气等因素影响。因此，我市需积极构建煤、油、气、非化石能源多轮驱动的能源供应体系，提高能源供应保障性，加强能源储备能力建设，增强能源体系的安全性。</w:t>
      </w:r>
    </w:p>
    <w:p w:rsidR="00372A39" w:rsidRDefault="00F54C2B">
      <w:pPr>
        <w:pStyle w:val="af0"/>
        <w:spacing w:before="290" w:after="290"/>
        <w:rPr>
          <w:rFonts w:hint="default"/>
        </w:rPr>
      </w:pPr>
      <w:bookmarkStart w:id="41" w:name="_Toc31959_WPSOffice_Level2"/>
      <w:r>
        <w:lastRenderedPageBreak/>
        <w:t>第四节</w:t>
      </w:r>
      <w:r>
        <w:t xml:space="preserve"> </w:t>
      </w:r>
      <w:r>
        <w:t>能源需求预测</w:t>
      </w:r>
      <w:bookmarkEnd w:id="41"/>
    </w:p>
    <w:p w:rsidR="00372A39" w:rsidRPr="00CC4D86" w:rsidRDefault="00F54C2B">
      <w:pPr>
        <w:pStyle w:val="a9"/>
        <w:spacing w:before="0" w:beforeAutospacing="0" w:after="0" w:afterAutospacing="0"/>
        <w:ind w:firstLineChars="200" w:firstLine="560"/>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综合考虑我市经济发展、人口增长、产业结构、电气化水平提升和居民用电需求增长等因素对能源需求的影响，采用人均用电量、能源消费弹性系数、分行政区能耗等多种方法预测。</w:t>
      </w:r>
      <w:r w:rsidRPr="00CC4D86">
        <w:rPr>
          <w:rFonts w:ascii="仿宋_GB2312" w:eastAsia="仿宋_GB2312" w:hAnsi="Times New Roman" w:cs="Times New Roman" w:hint="eastAsia"/>
          <w:color w:val="000000"/>
          <w:sz w:val="28"/>
          <w:szCs w:val="28"/>
        </w:rPr>
        <w:t>预计到2025年，我市能源消费总量约为</w:t>
      </w:r>
      <w:r w:rsidR="00CC4D86" w:rsidRPr="00CC4D86">
        <w:rPr>
          <w:rFonts w:ascii="仿宋_GB2312" w:eastAsia="仿宋_GB2312" w:hAnsi="Times New Roman" w:cs="Times New Roman" w:hint="eastAsia"/>
          <w:color w:val="000000"/>
          <w:sz w:val="28"/>
          <w:szCs w:val="28"/>
        </w:rPr>
        <w:t xml:space="preserve"> </w:t>
      </w:r>
      <w:r w:rsidRPr="00CC4D86">
        <w:rPr>
          <w:rFonts w:ascii="仿宋_GB2312" w:eastAsia="仿宋_GB2312" w:hAnsi="Times New Roman" w:cs="Times New Roman" w:hint="eastAsia"/>
          <w:color w:val="000000"/>
          <w:sz w:val="28"/>
          <w:szCs w:val="28"/>
        </w:rPr>
        <w:t>万吨标准煤，“十四五”年均增速</w:t>
      </w:r>
      <w:r w:rsidR="00CC4D86" w:rsidRPr="00CC4D86">
        <w:rPr>
          <w:rFonts w:ascii="仿宋_GB2312" w:eastAsia="仿宋_GB2312" w:hAnsi="Times New Roman" w:cs="Times New Roman" w:hint="eastAsia"/>
          <w:color w:val="000000"/>
          <w:sz w:val="28"/>
          <w:szCs w:val="28"/>
        </w:rPr>
        <w:t xml:space="preserve"> </w:t>
      </w:r>
      <w:r w:rsidRPr="00CC4D86">
        <w:rPr>
          <w:rFonts w:ascii="仿宋_GB2312" w:eastAsia="仿宋_GB2312" w:hAnsi="Times New Roman" w:cs="Times New Roman" w:hint="eastAsia"/>
          <w:color w:val="000000"/>
          <w:sz w:val="28"/>
          <w:szCs w:val="28"/>
        </w:rPr>
        <w:t>%。</w:t>
      </w:r>
    </w:p>
    <w:p w:rsidR="00372A39" w:rsidRPr="00CC4D86" w:rsidRDefault="00F54C2B">
      <w:pPr>
        <w:pStyle w:val="af1"/>
        <w:rPr>
          <w:rFonts w:ascii="仿宋_GB2312" w:eastAsia="仿宋_GB2312" w:cs="Times New Roman" w:hint="default"/>
          <w:color w:val="000000"/>
          <w:kern w:val="0"/>
          <w:shd w:val="clear" w:color="auto" w:fill="auto"/>
        </w:rPr>
      </w:pPr>
      <w:r w:rsidRPr="00CC4D86">
        <w:rPr>
          <w:rFonts w:ascii="仿宋_GB2312" w:eastAsia="仿宋_GB2312" w:cs="Times New Roman"/>
          <w:color w:val="000000"/>
          <w:kern w:val="0"/>
          <w:shd w:val="clear" w:color="auto" w:fill="auto"/>
        </w:rPr>
        <w:t>能源消费结构方面，根据坚持清洁低碳导向的新发展要求，预计到2025年，我市煤炭、石油、天然气、非化石能源占一次能源消费比重分别调整为56.6%、21.0%、1.2%、21.2%。</w:t>
      </w:r>
    </w:p>
    <w:p w:rsidR="00372A39" w:rsidRDefault="00F54C2B">
      <w:pPr>
        <w:pStyle w:val="af1"/>
        <w:rPr>
          <w:rFonts w:hint="default"/>
        </w:rPr>
      </w:pPr>
      <w:r>
        <w:t>其中：</w:t>
      </w:r>
    </w:p>
    <w:p w:rsidR="00372A39" w:rsidRDefault="00F54C2B">
      <w:pPr>
        <w:pStyle w:val="af1"/>
        <w:rPr>
          <w:rFonts w:hint="default"/>
        </w:rPr>
      </w:pPr>
      <w:r>
        <w:t>煤炭占一次能源消费比重将在“十四五”期间进一步下降。随着</w:t>
      </w:r>
      <w:r>
        <w:rPr>
          <w:rFonts w:hint="default"/>
        </w:rPr>
        <w:t>大力在全市范围内逐步淘汰落后产能，积极引导传统产能通过技术革新优化升级。</w:t>
      </w:r>
      <w:r>
        <w:t>我市将积极</w:t>
      </w:r>
      <w:r>
        <w:rPr>
          <w:rFonts w:hint="default"/>
        </w:rPr>
        <w:t>完成国家、省下达的淘汰落后产能工作目标，逐步转移淘汰不符合环保要求的水泥、造纸、家具和制革企业。</w:t>
      </w:r>
      <w:r>
        <w:t>预计到</w:t>
      </w:r>
      <w:r>
        <w:t>2025</w:t>
      </w:r>
      <w:r>
        <w:t>年，我市煤炭占一次能源消费比重下降</w:t>
      </w:r>
      <w:r>
        <w:t>3</w:t>
      </w:r>
      <w:r>
        <w:t>个百分点。</w:t>
      </w:r>
    </w:p>
    <w:p w:rsidR="00372A39" w:rsidRDefault="00F54C2B">
      <w:pPr>
        <w:pStyle w:val="af1"/>
        <w:rPr>
          <w:rFonts w:hint="default"/>
        </w:rPr>
      </w:pPr>
      <w:r>
        <w:t>石油占一次能源消费比重略有回落。梅州市已彻底退出煤矿行业，辖区内无原油生产和加工产业，随着我市天然气管网进一步建设完善、居民天然气覆盖率提高、新能源汽车在基础设施完善后逐渐普及，预计到</w:t>
      </w:r>
      <w:r>
        <w:t>2025</w:t>
      </w:r>
      <w:r>
        <w:t>年，我市石油占一次能源消费比重下降</w:t>
      </w:r>
      <w:r>
        <w:t>1</w:t>
      </w:r>
      <w:r>
        <w:t>个百分点。</w:t>
      </w:r>
    </w:p>
    <w:p w:rsidR="00372A39" w:rsidRDefault="00F54C2B">
      <w:pPr>
        <w:pStyle w:val="af1"/>
        <w:rPr>
          <w:rFonts w:hint="default"/>
        </w:rPr>
      </w:pPr>
      <w:r>
        <w:t>天然气消费迅速增长。广东省天然气</w:t>
      </w:r>
      <w:r w:rsidR="00DB2B78">
        <w:t>主干管网</w:t>
      </w:r>
      <w:r>
        <w:t>“县县通</w:t>
      </w:r>
      <w:r w:rsidR="00DB2B78">
        <w:t>工程</w:t>
      </w:r>
      <w:r>
        <w:t>”梅州区域管道项目的建设，确保“十四五”期间实现我市天然气管网的全覆盖和天然气供应能力的进一步提升。同时我市将加强城镇天然气管道建设，提升天然气消纳能力。在“十四五”期间各企业预计投入天然气基础设施建设的资金约</w:t>
      </w:r>
      <w:r>
        <w:t>6.1</w:t>
      </w:r>
      <w:r>
        <w:t>亿元。预计到</w:t>
      </w:r>
      <w:r>
        <w:t>2025</w:t>
      </w:r>
      <w:r>
        <w:t>年，我市天然</w:t>
      </w:r>
      <w:r>
        <w:lastRenderedPageBreak/>
        <w:t>气占一次能源消费比重增长</w:t>
      </w:r>
      <w:r>
        <w:t>0.6</w:t>
      </w:r>
      <w:r>
        <w:t>个百分点。</w:t>
      </w:r>
    </w:p>
    <w:p w:rsidR="00372A39" w:rsidRDefault="00F54C2B">
      <w:pPr>
        <w:pStyle w:val="af1"/>
        <w:rPr>
          <w:rFonts w:hint="default"/>
        </w:rPr>
      </w:pPr>
      <w:r>
        <w:t>用电需求增长较快。“十四五”期间，随着电网布局逐渐完善，新能源汽车在农村地区快速推广，全社会电气化水平将持续提升，我市电力保持较快增长。采用人均用电量法和负荷密度法预测，预计到</w:t>
      </w:r>
      <w:r>
        <w:t>2025</w:t>
      </w:r>
      <w:r>
        <w:t>年我市全社会用电量将达到</w:t>
      </w:r>
      <w:r>
        <w:t>143.5</w:t>
      </w:r>
      <w:r>
        <w:t>亿千瓦时，年均增长</w:t>
      </w:r>
      <w:r w:rsidR="00DB2B78">
        <w:t>4.6</w:t>
      </w:r>
      <w:r>
        <w:t>%</w:t>
      </w:r>
      <w:r>
        <w:t>，高于能源消费增长。全市电网负荷达到</w:t>
      </w:r>
      <w:r>
        <w:t>30</w:t>
      </w:r>
      <w:r w:rsidR="00FF00D1">
        <w:t>8</w:t>
      </w:r>
      <w:r>
        <w:rPr>
          <w:bCs/>
          <w:color w:val="333333"/>
        </w:rPr>
        <w:t>万千瓦</w:t>
      </w:r>
      <w:r>
        <w:t>，年均增长</w:t>
      </w:r>
      <w:r w:rsidR="00FF00D1">
        <w:t>4.6</w:t>
      </w:r>
      <w:r>
        <w:t>%</w:t>
      </w:r>
      <w:r>
        <w:t>。</w:t>
      </w:r>
    </w:p>
    <w:p w:rsidR="00372A39" w:rsidRDefault="00372A39"/>
    <w:p w:rsidR="00372A39" w:rsidRDefault="00F54C2B">
      <w:pPr>
        <w:pStyle w:val="af"/>
        <w:spacing w:before="290" w:after="290"/>
        <w:rPr>
          <w:rFonts w:hint="default"/>
        </w:rPr>
      </w:pPr>
      <w:bookmarkStart w:id="42" w:name="_Toc1159_WPSOffice_Level1"/>
      <w:r>
        <w:t>第二章</w:t>
      </w:r>
      <w:r>
        <w:t xml:space="preserve"> </w:t>
      </w:r>
      <w:r>
        <w:t>总体要求和发展目标</w:t>
      </w:r>
      <w:bookmarkEnd w:id="42"/>
    </w:p>
    <w:p w:rsidR="00372A39" w:rsidRDefault="00F54C2B">
      <w:pPr>
        <w:pStyle w:val="af0"/>
        <w:spacing w:before="290" w:after="290"/>
        <w:rPr>
          <w:rFonts w:hint="default"/>
        </w:rPr>
      </w:pPr>
      <w:bookmarkStart w:id="43" w:name="_Toc5516_WPSOffice_Level2"/>
      <w:r>
        <w:t>第一节</w:t>
      </w:r>
      <w:r>
        <w:t xml:space="preserve"> </w:t>
      </w:r>
      <w:r>
        <w:t>指导思想</w:t>
      </w:r>
      <w:bookmarkEnd w:id="43"/>
    </w:p>
    <w:p w:rsidR="00372A39" w:rsidRPr="00CC4D86" w:rsidRDefault="00F54C2B">
      <w:pPr>
        <w:pStyle w:val="af1"/>
        <w:rPr>
          <w:rFonts w:hint="default"/>
        </w:rPr>
      </w:pPr>
      <w:r w:rsidRPr="00CC4D86">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贯彻习近平总书记对广东系列重要讲话和重要指示批示精神，坚定不移贯彻创新、协调、绿色、开放、共享的新发展理念，落实“四个革命、一个合作”战略思想。正确把握“四个走在全国前列”和当好“两个重要窗口”与四个方面重要指示要求的一致性，统筹推进“五位一体”总体布局，抓住新常态下我国进入能源领域供给侧改革深水区的战略机遇，以二氧化碳排放达峰目标与碳中和愿景为牵引，以协同增效为着力点，坚持系统观念，推进绿色低碳能源工作，优化能源结构，推动能源发展转型升级；立足现有基础，充分发挥后发优势，加强能源技术创新与应用，实现能源发展从粗放式</w:t>
      </w:r>
      <w:r w:rsidRPr="00CC4D86">
        <w:lastRenderedPageBreak/>
        <w:t>向提质增效转变，探索能源体制机制改革创新，努力构建清洁低碳、安全高效、智能创新的现代能源体系，深入贯彻省委“</w:t>
      </w:r>
      <w:r w:rsidRPr="00CC4D86">
        <w:t>1+1+9</w:t>
      </w:r>
      <w:r w:rsidRPr="00CC4D86">
        <w:t>”工作部署，抢抓“双区”建设、“双城”联动、进一步推动老区苏区振兴发展、高质量加快构建“一核一带一区”区域发展格局，为打造“三宜”城市，争当生态发展区建设先行示范市提供清洁、可靠、优质的能源保障。</w:t>
      </w:r>
    </w:p>
    <w:p w:rsidR="00372A39" w:rsidRDefault="00372A39"/>
    <w:p w:rsidR="00372A39" w:rsidRDefault="00F54C2B">
      <w:pPr>
        <w:pStyle w:val="af0"/>
        <w:spacing w:before="290" w:after="290"/>
        <w:rPr>
          <w:rFonts w:hint="default"/>
        </w:rPr>
      </w:pPr>
      <w:bookmarkStart w:id="44" w:name="_Toc9064_WPSOffice_Level2"/>
      <w:r>
        <w:t>第三节</w:t>
      </w:r>
      <w:r>
        <w:t xml:space="preserve"> </w:t>
      </w:r>
      <w:r>
        <w:t>基本原则</w:t>
      </w:r>
      <w:bookmarkEnd w:id="44"/>
    </w:p>
    <w:p w:rsidR="00372A39" w:rsidRDefault="00F54C2B">
      <w:pPr>
        <w:pStyle w:val="af1"/>
        <w:ind w:firstLine="562"/>
        <w:rPr>
          <w:rFonts w:hint="default"/>
        </w:rPr>
      </w:pPr>
      <w:r>
        <w:rPr>
          <w:b/>
          <w:bCs/>
        </w:rPr>
        <w:t>——保障供给，安全发展。</w:t>
      </w:r>
      <w:r>
        <w:t>着眼大范围的能源平衡和区域布局，建立多元化和多极化的能源供应渠道，加快能源的大通道建设，完善能源应急体系和能力建设，提高对周边地区的辐射能力，在保障能源供给安全的同时提升能源的消纳能力。</w:t>
      </w:r>
    </w:p>
    <w:p w:rsidR="00372A39" w:rsidRDefault="00F54C2B">
      <w:pPr>
        <w:pStyle w:val="af1"/>
        <w:ind w:firstLine="562"/>
        <w:rPr>
          <w:rFonts w:hint="default"/>
        </w:rPr>
      </w:pPr>
      <w:r>
        <w:rPr>
          <w:b/>
          <w:bCs/>
        </w:rPr>
        <w:t>——优化结构，绿色发展</w:t>
      </w:r>
      <w:r>
        <w:t>。清洁高效发展煤电，继续实施“上大压小”策略，合理控制煤电建设规模和投产时序，合理推进工业园区集中供热，提高天然气消费水平，推进清洁替代和电能替代，促进煤炭清洁高效利用；依托梅州市资源禀赋特性，大力发展非化石能源，不断提高清洁能源比重，优化能源结构。</w:t>
      </w:r>
    </w:p>
    <w:p w:rsidR="00372A39" w:rsidRDefault="00F54C2B">
      <w:pPr>
        <w:pStyle w:val="af1"/>
        <w:ind w:firstLine="562"/>
        <w:rPr>
          <w:rFonts w:hint="default"/>
        </w:rPr>
      </w:pPr>
      <w:r>
        <w:rPr>
          <w:b/>
          <w:bCs/>
        </w:rPr>
        <w:t>——市场引导，创新发展。</w:t>
      </w:r>
      <w:r>
        <w:t>发挥市场配置资源的决定性作用，以市场需求为目标，更大范围优化配置能源资源；加强创新平台建设，支持“三院一基地”发展壮大，基本形成区域创新体系。强化企业创新主体地位，支持骨干企业、重点行业技术创新，推动产学研深度融合。提升能源科技应用水平，增强能源发展活力。</w:t>
      </w:r>
    </w:p>
    <w:p w:rsidR="00372A39" w:rsidRDefault="00F54C2B">
      <w:pPr>
        <w:pStyle w:val="af1"/>
        <w:ind w:firstLine="562"/>
        <w:rPr>
          <w:rFonts w:eastAsia="仿宋_GB2312" w:hint="default"/>
        </w:rPr>
      </w:pPr>
      <w:r>
        <w:rPr>
          <w:rFonts w:eastAsia="仿宋_GB2312"/>
          <w:b/>
          <w:bCs/>
        </w:rPr>
        <w:t>——节能优先，协调发展。</w:t>
      </w:r>
      <w:r>
        <w:rPr>
          <w:rFonts w:eastAsia="仿宋_GB2312"/>
        </w:rPr>
        <w:t>贯彻系统节能、协调发展思路，把能</w:t>
      </w:r>
      <w:r>
        <w:rPr>
          <w:rFonts w:eastAsia="仿宋_GB2312"/>
        </w:rPr>
        <w:lastRenderedPageBreak/>
        <w:t>源节约贯穿于经济社会发展全过程，健全市场调节与行政考核相结合的节能体制机制，完善</w:t>
      </w:r>
      <w:hyperlink r:id="rId11" w:tgtFrame="_blank" w:history="1">
        <w:r>
          <w:rPr>
            <w:rFonts w:eastAsia="仿宋_GB2312"/>
          </w:rPr>
          <w:t>能源统计</w:t>
        </w:r>
      </w:hyperlink>
      <w:r>
        <w:rPr>
          <w:rFonts w:eastAsia="仿宋_GB2312"/>
        </w:rPr>
        <w:t>制度。推动城乡用能方式变革，适应人民群众生活条件改善要求，着力解决能源发展薄弱环节。加快天然气</w:t>
      </w:r>
      <w:r w:rsidR="00A602CD">
        <w:rPr>
          <w:rFonts w:eastAsia="仿宋_GB2312"/>
        </w:rPr>
        <w:t>主干管网</w:t>
      </w:r>
      <w:r>
        <w:rPr>
          <w:rFonts w:eastAsia="仿宋_GB2312"/>
        </w:rPr>
        <w:t>“县县通</w:t>
      </w:r>
      <w:r w:rsidR="00A602CD">
        <w:rPr>
          <w:rFonts w:eastAsia="仿宋_GB2312"/>
        </w:rPr>
        <w:t>工程”</w:t>
      </w:r>
      <w:r>
        <w:rPr>
          <w:rFonts w:eastAsia="仿宋_GB2312"/>
        </w:rPr>
        <w:t>、接</w:t>
      </w:r>
      <w:r w:rsidR="00A602CD">
        <w:rPr>
          <w:rFonts w:eastAsia="仿宋_GB2312"/>
        </w:rPr>
        <w:t>收门</w:t>
      </w:r>
      <w:r>
        <w:rPr>
          <w:rFonts w:eastAsia="仿宋_GB2312"/>
        </w:rPr>
        <w:t>站和城镇天然气管道建设，满足新型城镇化和现代农业发展发展需要，促进城乡一体协调发展。</w:t>
      </w:r>
    </w:p>
    <w:p w:rsidR="00372A39" w:rsidRDefault="00F54C2B">
      <w:pPr>
        <w:pStyle w:val="af1"/>
        <w:ind w:firstLine="562"/>
        <w:rPr>
          <w:rFonts w:hint="default"/>
        </w:rPr>
      </w:pPr>
      <w:r>
        <w:rPr>
          <w:b/>
          <w:bCs/>
        </w:rPr>
        <w:t>——产业升级，高效发展。</w:t>
      </w:r>
      <w:r>
        <w:t>强化节能环保标准约束，坚持淘汰重点耗能行业落后产能，鼓励企业采用先进的工艺技术设备，实施智能化改造和绿色化转型。支持新一代信息技术、高端装备制造、生物医药、数字经济、新能源、节能环保、现代金融等先进制造业，战略性新兴产业、高端服务业发展，加快节能环保技术研发和装备推广应用。</w:t>
      </w:r>
    </w:p>
    <w:p w:rsidR="00372A39" w:rsidRDefault="00F54C2B">
      <w:pPr>
        <w:pStyle w:val="af1"/>
        <w:ind w:firstLine="562"/>
        <w:rPr>
          <w:rFonts w:hint="default"/>
        </w:rPr>
      </w:pPr>
      <w:r>
        <w:rPr>
          <w:b/>
          <w:bCs/>
        </w:rPr>
        <w:t>——合作互利，开放发展。</w:t>
      </w:r>
      <w:r>
        <w:t>充分利用省内外、国内外能源供应、消费市场，积极开展与实力强、技术新的能源企业在技术创新、模式创新、机制创新等方面的合作，促进能源产业与新兴产业融合发展，共享能源消费市场扩张成果，强化我市能源相关企业竞争力。</w:t>
      </w:r>
    </w:p>
    <w:p w:rsidR="00372A39" w:rsidRDefault="00F54C2B">
      <w:pPr>
        <w:pStyle w:val="af0"/>
        <w:spacing w:before="290" w:after="290"/>
        <w:rPr>
          <w:rFonts w:hint="default"/>
        </w:rPr>
      </w:pPr>
      <w:bookmarkStart w:id="45" w:name="_Toc30541_WPSOffice_Level2"/>
      <w:r>
        <w:t>第三节</w:t>
      </w:r>
      <w:r>
        <w:t xml:space="preserve"> </w:t>
      </w:r>
      <w:r>
        <w:t>发展目标</w:t>
      </w:r>
      <w:bookmarkEnd w:id="45"/>
    </w:p>
    <w:p w:rsidR="00372A39" w:rsidRDefault="00F54C2B">
      <w:pPr>
        <w:pStyle w:val="af1"/>
        <w:rPr>
          <w:rFonts w:hint="default"/>
        </w:rPr>
      </w:pPr>
      <w:r>
        <w:t>经过“十四五”时期的建设和发展，全市能源安全短板进一步补强，能源保障体系更加完善，抗风险能力显著提升；能源利用效率进一步提高，更接近广东省整体能效水平；能源新技术与产业融合发展，体制机制进一步完善，能源民生福祉显著增进。“绿色低碳、安全高效、智能创新”的现代能源体系初步形成，以能源绿色高效发展为经济社会健康持续发展提供新动能。</w:t>
      </w:r>
    </w:p>
    <w:p w:rsidR="00372A39" w:rsidRDefault="00F54C2B">
      <w:pPr>
        <w:pStyle w:val="af1"/>
        <w:ind w:firstLine="562"/>
        <w:rPr>
          <w:rFonts w:eastAsia="仿宋_GB2312" w:hint="default"/>
        </w:rPr>
      </w:pPr>
      <w:r>
        <w:rPr>
          <w:rFonts w:eastAsia="仿宋_GB2312" w:hint="default"/>
          <w:b/>
          <w:bCs/>
        </w:rPr>
        <w:t>进一步提升能源供应保障能力</w:t>
      </w:r>
      <w:r>
        <w:rPr>
          <w:rFonts w:eastAsia="仿宋_GB2312"/>
        </w:rPr>
        <w:t>。</w:t>
      </w:r>
      <w:r>
        <w:rPr>
          <w:rFonts w:eastAsia="仿宋_GB2312" w:hint="default"/>
        </w:rPr>
        <w:t>至</w:t>
      </w:r>
      <w:r>
        <w:rPr>
          <w:rFonts w:eastAsia="仿宋_GB2312" w:hint="default"/>
        </w:rPr>
        <w:t>2025</w:t>
      </w:r>
      <w:r>
        <w:rPr>
          <w:rFonts w:eastAsia="仿宋_GB2312" w:hint="default"/>
        </w:rPr>
        <w:t>年全市电源装机容量</w:t>
      </w:r>
      <w:r>
        <w:rPr>
          <w:rFonts w:eastAsia="仿宋_GB2312" w:hint="default"/>
        </w:rPr>
        <w:t>948</w:t>
      </w:r>
      <w:r>
        <w:rPr>
          <w:rFonts w:eastAsia="仿宋_GB2312"/>
        </w:rPr>
        <w:t>.</w:t>
      </w:r>
      <w:r>
        <w:rPr>
          <w:rFonts w:eastAsia="仿宋_GB2312" w:hint="default"/>
        </w:rPr>
        <w:t>04</w:t>
      </w:r>
      <w:r>
        <w:rPr>
          <w:bCs/>
          <w:color w:val="333333"/>
        </w:rPr>
        <w:t>万千瓦</w:t>
      </w:r>
      <w:r>
        <w:rPr>
          <w:rFonts w:eastAsia="仿宋_GB2312" w:hint="default"/>
        </w:rPr>
        <w:t>（考虑关停塔牌集团自备电厂</w:t>
      </w:r>
      <w:r>
        <w:rPr>
          <w:rFonts w:eastAsia="仿宋_GB2312" w:hint="default"/>
        </w:rPr>
        <w:t>6</w:t>
      </w:r>
      <w:r>
        <w:rPr>
          <w:bCs/>
          <w:color w:val="333333"/>
        </w:rPr>
        <w:t>万千瓦</w:t>
      </w:r>
      <w:r>
        <w:rPr>
          <w:rFonts w:eastAsia="仿宋_GB2312" w:hint="default"/>
        </w:rPr>
        <w:t>机组）</w:t>
      </w:r>
      <w:r>
        <w:rPr>
          <w:rFonts w:eastAsia="仿宋_GB2312"/>
        </w:rPr>
        <w:t>，其中非</w:t>
      </w:r>
      <w:r>
        <w:rPr>
          <w:rFonts w:eastAsia="仿宋_GB2312"/>
        </w:rPr>
        <w:lastRenderedPageBreak/>
        <w:t>化石能源装机容量</w:t>
      </w:r>
      <w:r>
        <w:rPr>
          <w:rFonts w:eastAsia="仿宋_GB2312"/>
        </w:rPr>
        <w:t>458.24</w:t>
      </w:r>
      <w:r>
        <w:rPr>
          <w:bCs/>
          <w:color w:val="333333"/>
        </w:rPr>
        <w:t>万</w:t>
      </w:r>
      <w:r w:rsidRPr="00CC4D86">
        <w:rPr>
          <w:bCs/>
          <w:color w:val="333333"/>
        </w:rPr>
        <w:t>千瓦</w:t>
      </w:r>
      <w:r w:rsidRPr="00CC4D86">
        <w:rPr>
          <w:rFonts w:eastAsia="仿宋_GB2312"/>
        </w:rPr>
        <w:t>，</w:t>
      </w:r>
      <w:r w:rsidR="00A602CD" w:rsidRPr="00CC4D86">
        <w:rPr>
          <w:rFonts w:eastAsia="仿宋_GB2312"/>
        </w:rPr>
        <w:t>能源</w:t>
      </w:r>
      <w:r w:rsidRPr="00CC4D86">
        <w:rPr>
          <w:rFonts w:eastAsia="仿宋_GB2312"/>
        </w:rPr>
        <w:t>综合生产能力达到</w:t>
      </w:r>
      <w:r w:rsidR="00A602CD" w:rsidRPr="00CC4D86">
        <w:rPr>
          <w:rFonts w:eastAsia="仿宋_GB2312"/>
        </w:rPr>
        <w:t>79.5</w:t>
      </w:r>
      <w:r w:rsidRPr="00CC4D86">
        <w:rPr>
          <w:rFonts w:eastAsia="仿宋_GB2312"/>
        </w:rPr>
        <w:t>万吨标准煤。</w:t>
      </w:r>
      <w:r w:rsidRPr="00CC4D86">
        <w:rPr>
          <w:rFonts w:eastAsia="仿宋_GB2312" w:hint="default"/>
        </w:rPr>
        <w:t>输电网方面，新建及改造</w:t>
      </w:r>
      <w:r w:rsidRPr="00CC4D86">
        <w:rPr>
          <w:rFonts w:eastAsia="仿宋_GB2312" w:hint="default"/>
        </w:rPr>
        <w:t>500</w:t>
      </w:r>
      <w:r w:rsidRPr="00CC4D86">
        <w:rPr>
          <w:rFonts w:eastAsia="仿宋_GB2312"/>
        </w:rPr>
        <w:t>千</w:t>
      </w:r>
      <w:r>
        <w:rPr>
          <w:rFonts w:eastAsia="仿宋_GB2312"/>
        </w:rPr>
        <w:t>伏</w:t>
      </w:r>
      <w:r>
        <w:rPr>
          <w:rFonts w:eastAsia="仿宋_GB2312" w:hint="default"/>
        </w:rPr>
        <w:t>变电站</w:t>
      </w:r>
      <w:r>
        <w:rPr>
          <w:rFonts w:eastAsia="仿宋_GB2312" w:hint="default"/>
        </w:rPr>
        <w:t>1</w:t>
      </w:r>
      <w:r>
        <w:rPr>
          <w:rFonts w:eastAsia="仿宋_GB2312" w:hint="default"/>
        </w:rPr>
        <w:t>座，变电容量</w:t>
      </w:r>
      <w:r>
        <w:rPr>
          <w:rFonts w:eastAsia="仿宋_GB2312" w:hint="default"/>
        </w:rPr>
        <w:t>100</w:t>
      </w:r>
      <w:r>
        <w:rPr>
          <w:rFonts w:eastAsia="仿宋_GB2312"/>
        </w:rPr>
        <w:t>万千伏安，</w:t>
      </w:r>
      <w:r>
        <w:rPr>
          <w:rFonts w:eastAsia="仿宋_GB2312" w:hint="default"/>
        </w:rPr>
        <w:t>新建</w:t>
      </w:r>
      <w:r>
        <w:rPr>
          <w:rFonts w:eastAsia="仿宋_GB2312" w:hint="default"/>
        </w:rPr>
        <w:t>500</w:t>
      </w:r>
      <w:r>
        <w:rPr>
          <w:rFonts w:eastAsia="仿宋_GB2312" w:hint="default"/>
        </w:rPr>
        <w:t>千伏线路</w:t>
      </w:r>
      <w:r>
        <w:rPr>
          <w:rFonts w:eastAsia="仿宋_GB2312" w:hint="default"/>
        </w:rPr>
        <w:t>202.2</w:t>
      </w:r>
      <w:r>
        <w:rPr>
          <w:rFonts w:eastAsia="仿宋_GB2312" w:hint="default"/>
        </w:rPr>
        <w:t>千米；新建及改造</w:t>
      </w:r>
      <w:r>
        <w:rPr>
          <w:rFonts w:eastAsia="仿宋_GB2312" w:hint="default"/>
        </w:rPr>
        <w:t>220</w:t>
      </w:r>
      <w:r>
        <w:rPr>
          <w:rFonts w:eastAsia="仿宋_GB2312"/>
        </w:rPr>
        <w:t>千伏</w:t>
      </w:r>
      <w:r>
        <w:rPr>
          <w:rFonts w:eastAsia="仿宋_GB2312" w:hint="default"/>
        </w:rPr>
        <w:t>变电站</w:t>
      </w:r>
      <w:r>
        <w:rPr>
          <w:rFonts w:eastAsia="仿宋_GB2312" w:hint="default"/>
        </w:rPr>
        <w:t>5</w:t>
      </w:r>
      <w:r>
        <w:rPr>
          <w:rFonts w:eastAsia="仿宋_GB2312" w:hint="default"/>
        </w:rPr>
        <w:t>座，变电容量</w:t>
      </w:r>
      <w:r>
        <w:rPr>
          <w:rFonts w:eastAsia="仿宋_GB2312" w:hint="default"/>
        </w:rPr>
        <w:t>108</w:t>
      </w:r>
      <w:r>
        <w:rPr>
          <w:rFonts w:eastAsia="仿宋_GB2312"/>
        </w:rPr>
        <w:t>万千伏安</w:t>
      </w:r>
      <w:r>
        <w:rPr>
          <w:rFonts w:eastAsia="仿宋_GB2312" w:hint="default"/>
        </w:rPr>
        <w:t>，新建</w:t>
      </w:r>
      <w:r>
        <w:rPr>
          <w:rFonts w:eastAsia="仿宋_GB2312" w:hint="default"/>
        </w:rPr>
        <w:t>220</w:t>
      </w:r>
      <w:r>
        <w:rPr>
          <w:rFonts w:eastAsia="仿宋_GB2312" w:hint="default"/>
        </w:rPr>
        <w:t>千伏线路</w:t>
      </w:r>
      <w:r>
        <w:rPr>
          <w:rFonts w:eastAsia="仿宋_GB2312" w:hint="default"/>
        </w:rPr>
        <w:t>380</w:t>
      </w:r>
      <w:r>
        <w:rPr>
          <w:rFonts w:eastAsia="仿宋_GB2312" w:hint="default"/>
        </w:rPr>
        <w:t>千米。配电网方面，新建及改造</w:t>
      </w:r>
      <w:r>
        <w:rPr>
          <w:rFonts w:eastAsia="仿宋_GB2312" w:hint="default"/>
        </w:rPr>
        <w:t>110</w:t>
      </w:r>
      <w:r>
        <w:rPr>
          <w:rFonts w:eastAsia="仿宋_GB2312"/>
        </w:rPr>
        <w:t>千伏</w:t>
      </w:r>
      <w:r>
        <w:rPr>
          <w:rFonts w:eastAsia="仿宋_GB2312" w:hint="default"/>
        </w:rPr>
        <w:t>变电站</w:t>
      </w:r>
      <w:r>
        <w:rPr>
          <w:rFonts w:eastAsia="仿宋_GB2312" w:hint="default"/>
        </w:rPr>
        <w:t>21</w:t>
      </w:r>
      <w:r>
        <w:rPr>
          <w:rFonts w:eastAsia="仿宋_GB2312" w:hint="default"/>
        </w:rPr>
        <w:t>座，变电容量</w:t>
      </w:r>
      <w:r>
        <w:rPr>
          <w:rFonts w:eastAsia="仿宋_GB2312" w:hint="default"/>
        </w:rPr>
        <w:t>80</w:t>
      </w:r>
      <w:r>
        <w:rPr>
          <w:rFonts w:eastAsia="仿宋_GB2312"/>
        </w:rPr>
        <w:t>.</w:t>
      </w:r>
      <w:r>
        <w:rPr>
          <w:rFonts w:eastAsia="仿宋_GB2312" w:hint="default"/>
        </w:rPr>
        <w:t>3</w:t>
      </w:r>
      <w:r>
        <w:rPr>
          <w:rFonts w:eastAsia="仿宋_GB2312"/>
        </w:rPr>
        <w:t>万千伏安</w:t>
      </w:r>
      <w:r>
        <w:rPr>
          <w:rFonts w:eastAsia="仿宋_GB2312" w:hint="default"/>
        </w:rPr>
        <w:t>；新建及改造</w:t>
      </w:r>
      <w:r>
        <w:rPr>
          <w:rFonts w:eastAsia="仿宋_GB2312" w:hint="default"/>
        </w:rPr>
        <w:t>35</w:t>
      </w:r>
      <w:r>
        <w:rPr>
          <w:rFonts w:eastAsia="仿宋_GB2312"/>
        </w:rPr>
        <w:t>千伏</w:t>
      </w:r>
      <w:r>
        <w:rPr>
          <w:rFonts w:eastAsia="仿宋_GB2312" w:hint="default"/>
        </w:rPr>
        <w:t>变电站</w:t>
      </w:r>
      <w:r>
        <w:rPr>
          <w:rFonts w:eastAsia="仿宋_GB2312" w:hint="default"/>
        </w:rPr>
        <w:t>17</w:t>
      </w:r>
      <w:r>
        <w:rPr>
          <w:rFonts w:eastAsia="仿宋_GB2312" w:hint="default"/>
        </w:rPr>
        <w:t>座，变电容量</w:t>
      </w:r>
      <w:r>
        <w:rPr>
          <w:rFonts w:eastAsia="仿宋_GB2312" w:hint="default"/>
        </w:rPr>
        <w:t>11</w:t>
      </w:r>
      <w:r>
        <w:rPr>
          <w:rFonts w:eastAsia="仿宋_GB2312"/>
        </w:rPr>
        <w:t>.</w:t>
      </w:r>
      <w:r>
        <w:rPr>
          <w:rFonts w:eastAsia="仿宋_GB2312" w:hint="default"/>
        </w:rPr>
        <w:t>7</w:t>
      </w:r>
      <w:r>
        <w:rPr>
          <w:rFonts w:eastAsia="仿宋_GB2312"/>
        </w:rPr>
        <w:t>万千伏安</w:t>
      </w:r>
      <w:r>
        <w:rPr>
          <w:rFonts w:eastAsia="仿宋_GB2312" w:hint="default"/>
        </w:rPr>
        <w:t>；新建及改造</w:t>
      </w:r>
      <w:r>
        <w:rPr>
          <w:rFonts w:eastAsia="仿宋_GB2312" w:hint="default"/>
        </w:rPr>
        <w:t>10</w:t>
      </w:r>
      <w:r>
        <w:rPr>
          <w:rFonts w:eastAsia="仿宋_GB2312"/>
        </w:rPr>
        <w:t>千伏</w:t>
      </w:r>
      <w:r>
        <w:rPr>
          <w:rFonts w:eastAsia="仿宋_GB2312" w:hint="default"/>
        </w:rPr>
        <w:t>线路</w:t>
      </w:r>
      <w:r>
        <w:rPr>
          <w:rFonts w:eastAsia="仿宋_GB2312" w:hint="default"/>
        </w:rPr>
        <w:t>4273</w:t>
      </w:r>
      <w:r>
        <w:rPr>
          <w:rFonts w:eastAsia="仿宋_GB2312"/>
        </w:rPr>
        <w:t>千米</w:t>
      </w:r>
      <w:r>
        <w:rPr>
          <w:rFonts w:eastAsia="仿宋_GB2312" w:hint="default"/>
        </w:rPr>
        <w:t>，新建及改造配变</w:t>
      </w:r>
      <w:r>
        <w:rPr>
          <w:rFonts w:eastAsia="仿宋_GB2312" w:hint="default"/>
        </w:rPr>
        <w:t>3621</w:t>
      </w:r>
      <w:r>
        <w:rPr>
          <w:rFonts w:eastAsia="仿宋_GB2312" w:hint="default"/>
        </w:rPr>
        <w:t>台，配变容量</w:t>
      </w:r>
      <w:r>
        <w:rPr>
          <w:rFonts w:eastAsia="仿宋_GB2312" w:hint="default"/>
        </w:rPr>
        <w:t>87.5</w:t>
      </w:r>
      <w:r>
        <w:rPr>
          <w:rFonts w:eastAsia="仿宋_GB2312" w:hint="default"/>
        </w:rPr>
        <w:t>万</w:t>
      </w:r>
      <w:r>
        <w:rPr>
          <w:rFonts w:eastAsia="仿宋_GB2312"/>
        </w:rPr>
        <w:t>千伏安</w:t>
      </w:r>
      <w:r>
        <w:rPr>
          <w:rFonts w:eastAsia="仿宋_GB2312" w:hint="default"/>
        </w:rPr>
        <w:t>。建设抽水蓄能电站及其接入工程，增强调峰能力，加强各地区协同调配能力。推进天然气管网</w:t>
      </w:r>
      <w:r>
        <w:rPr>
          <w:rFonts w:eastAsia="仿宋_GB2312" w:hint="default"/>
        </w:rPr>
        <w:t>“</w:t>
      </w:r>
      <w:r>
        <w:rPr>
          <w:rFonts w:eastAsia="仿宋_GB2312" w:hint="default"/>
        </w:rPr>
        <w:t>县县通</w:t>
      </w:r>
      <w:r>
        <w:rPr>
          <w:rFonts w:eastAsia="仿宋_GB2312" w:hint="default"/>
        </w:rPr>
        <w:t>”</w:t>
      </w:r>
      <w:r>
        <w:rPr>
          <w:rFonts w:eastAsia="仿宋_GB2312" w:hint="default"/>
        </w:rPr>
        <w:t>建设，提升能源的接收和消纳能力。</w:t>
      </w:r>
    </w:p>
    <w:p w:rsidR="00372A39" w:rsidRDefault="00F54C2B">
      <w:pPr>
        <w:pStyle w:val="af1"/>
        <w:ind w:firstLine="562"/>
        <w:rPr>
          <w:rFonts w:eastAsia="仿宋_GB2312" w:hint="default"/>
        </w:rPr>
      </w:pPr>
      <w:r>
        <w:rPr>
          <w:rFonts w:eastAsia="仿宋_GB2312" w:hint="default"/>
          <w:b/>
          <w:bCs/>
        </w:rPr>
        <w:t>持续推进能源结构优化</w:t>
      </w:r>
      <w:r>
        <w:rPr>
          <w:rFonts w:eastAsia="仿宋_GB2312"/>
          <w:b/>
          <w:bCs/>
        </w:rPr>
        <w:t>。</w:t>
      </w:r>
      <w:r>
        <w:rPr>
          <w:rFonts w:eastAsia="仿宋_GB2312"/>
        </w:rPr>
        <w:t>天然气消费与非化石能源消费比重进一步提高。在一次能源消费结构中，到</w:t>
      </w:r>
      <w:r>
        <w:rPr>
          <w:rFonts w:eastAsia="仿宋_GB2312"/>
        </w:rPr>
        <w:t>2025</w:t>
      </w:r>
      <w:r>
        <w:rPr>
          <w:rFonts w:eastAsia="仿宋_GB2312"/>
        </w:rPr>
        <w:t>年，天然气消费比重上升至</w:t>
      </w:r>
      <w:r>
        <w:rPr>
          <w:rFonts w:eastAsia="仿宋_GB2312"/>
        </w:rPr>
        <w:t>1.2%</w:t>
      </w:r>
      <w:r>
        <w:rPr>
          <w:rFonts w:eastAsia="仿宋_GB2312"/>
        </w:rPr>
        <w:t>，非化石能源消费比重上升至</w:t>
      </w:r>
      <w:r>
        <w:rPr>
          <w:rFonts w:eastAsia="仿宋_GB2312"/>
        </w:rPr>
        <w:t>21.2%</w:t>
      </w:r>
      <w:r>
        <w:rPr>
          <w:rFonts w:eastAsia="仿宋_GB2312"/>
        </w:rPr>
        <w:t>。我市在</w:t>
      </w:r>
      <w:r>
        <w:rPr>
          <w:rFonts w:eastAsia="仿宋_GB2312"/>
        </w:rPr>
        <w:t>2025</w:t>
      </w:r>
      <w:r>
        <w:rPr>
          <w:rFonts w:eastAsia="仿宋_GB2312"/>
        </w:rPr>
        <w:t>年煤、石油等传统化石能源在终端能源消费中的比重基本达到广东省</w:t>
      </w:r>
      <w:r>
        <w:rPr>
          <w:rFonts w:eastAsia="仿宋_GB2312"/>
        </w:rPr>
        <w:t>2020</w:t>
      </w:r>
      <w:r>
        <w:rPr>
          <w:rFonts w:eastAsia="仿宋_GB2312"/>
        </w:rPr>
        <w:t>年的规划指标值。</w:t>
      </w:r>
    </w:p>
    <w:p w:rsidR="00372A39" w:rsidRDefault="00F54C2B">
      <w:pPr>
        <w:pStyle w:val="af1"/>
        <w:ind w:firstLine="562"/>
        <w:rPr>
          <w:rFonts w:eastAsia="仿宋_GB2312" w:hint="default"/>
        </w:rPr>
      </w:pPr>
      <w:r>
        <w:rPr>
          <w:rFonts w:eastAsia="仿宋_GB2312"/>
          <w:b/>
          <w:bCs/>
        </w:rPr>
        <w:t>能源利用效率稳步提升。</w:t>
      </w:r>
      <w:r>
        <w:rPr>
          <w:rFonts w:eastAsia="仿宋_GB2312"/>
        </w:rPr>
        <w:t>能源消费总量控制在</w:t>
      </w:r>
      <w:r w:rsidR="00A602CD">
        <w:rPr>
          <w:rFonts w:eastAsia="仿宋_GB2312"/>
        </w:rPr>
        <w:t xml:space="preserve"> </w:t>
      </w:r>
      <w:r>
        <w:rPr>
          <w:rFonts w:eastAsia="仿宋_GB2312"/>
        </w:rPr>
        <w:t>万吨标准煤以内，单位</w:t>
      </w:r>
      <w:r>
        <w:rPr>
          <w:rFonts w:eastAsia="仿宋_GB2312"/>
        </w:rPr>
        <w:t>GDP</w:t>
      </w:r>
      <w:r>
        <w:rPr>
          <w:rFonts w:eastAsia="仿宋_GB2312"/>
        </w:rPr>
        <w:t>能耗约下降</w:t>
      </w:r>
      <w:r w:rsidR="00A602CD">
        <w:rPr>
          <w:rFonts w:eastAsia="仿宋_GB2312"/>
        </w:rPr>
        <w:t xml:space="preserve"> </w:t>
      </w:r>
      <w:r>
        <w:rPr>
          <w:rFonts w:eastAsia="仿宋_GB2312"/>
        </w:rPr>
        <w:t>%</w:t>
      </w:r>
      <w:r>
        <w:rPr>
          <w:rFonts w:eastAsia="仿宋_GB2312"/>
        </w:rPr>
        <w:t>，火电供电标准煤耗进一步下降至</w:t>
      </w:r>
      <w:r>
        <w:rPr>
          <w:rFonts w:eastAsia="仿宋_GB2312"/>
        </w:rPr>
        <w:t>295</w:t>
      </w:r>
      <w:r>
        <w:rPr>
          <w:rFonts w:eastAsia="仿宋_GB2312"/>
        </w:rPr>
        <w:t>克标准煤</w:t>
      </w:r>
      <w:r>
        <w:rPr>
          <w:rFonts w:eastAsia="仿宋_GB2312"/>
        </w:rPr>
        <w:t>/</w:t>
      </w:r>
      <w:r>
        <w:rPr>
          <w:rFonts w:eastAsia="仿宋_GB2312"/>
        </w:rPr>
        <w:t>千瓦时，电网综合网损率预计下降至</w:t>
      </w:r>
      <w:r>
        <w:rPr>
          <w:rFonts w:eastAsia="仿宋_GB2312"/>
        </w:rPr>
        <w:t>3.29%</w:t>
      </w:r>
      <w:r>
        <w:rPr>
          <w:rFonts w:eastAsia="仿宋_GB2312"/>
        </w:rPr>
        <w:t>。能源利用效率显著提升，进一步接近省内先进水平。</w:t>
      </w:r>
    </w:p>
    <w:p w:rsidR="00372A39" w:rsidRDefault="00F54C2B">
      <w:pPr>
        <w:pStyle w:val="af1"/>
        <w:ind w:firstLine="562"/>
        <w:rPr>
          <w:rFonts w:eastAsia="仿宋_GB2312" w:hint="default"/>
          <w:b/>
          <w:bCs/>
        </w:rPr>
      </w:pPr>
      <w:r>
        <w:rPr>
          <w:rFonts w:eastAsia="仿宋_GB2312"/>
          <w:b/>
          <w:bCs/>
        </w:rPr>
        <w:t>能源创新技术应用带动产业发展。</w:t>
      </w:r>
      <w:r>
        <w:rPr>
          <w:rFonts w:eastAsia="仿宋_GB2312"/>
        </w:rPr>
        <w:t>依托太阳能、新能源汽车、生物质能、氢能等方面的创新技术，积极探索能源新技术与我市优势产业融合发展新模式，增强我市产业内生动力，提高支柱产业核心竞争力。积极打造太阳能、生物质能等新能源产业群，助力我市可再生能源利用水平进一步提升。</w:t>
      </w:r>
    </w:p>
    <w:p w:rsidR="00372A39" w:rsidRDefault="00F54C2B">
      <w:pPr>
        <w:pStyle w:val="af1"/>
        <w:ind w:firstLine="562"/>
        <w:rPr>
          <w:rFonts w:eastAsia="仿宋_GB2312" w:hint="default"/>
        </w:rPr>
      </w:pPr>
      <w:r>
        <w:rPr>
          <w:rFonts w:eastAsia="仿宋_GB2312" w:hint="default"/>
          <w:b/>
          <w:bCs/>
        </w:rPr>
        <w:lastRenderedPageBreak/>
        <w:t>深入开展煤炭清洁高效利用</w:t>
      </w:r>
      <w:r>
        <w:rPr>
          <w:rFonts w:eastAsia="仿宋_GB2312"/>
          <w:b/>
          <w:bCs/>
        </w:rPr>
        <w:t>。</w:t>
      </w:r>
      <w:r>
        <w:rPr>
          <w:rFonts w:eastAsia="仿宋_GB2312" w:hint="default"/>
        </w:rPr>
        <w:t>十四五预计新增投产的装机容量达</w:t>
      </w:r>
      <w:r>
        <w:rPr>
          <w:rFonts w:eastAsia="仿宋_GB2312"/>
        </w:rPr>
        <w:t>488.8</w:t>
      </w:r>
      <w:r>
        <w:rPr>
          <w:bCs/>
          <w:color w:val="333333"/>
        </w:rPr>
        <w:t>万千瓦</w:t>
      </w:r>
      <w:r>
        <w:rPr>
          <w:rFonts w:eastAsia="仿宋_GB2312" w:hint="default"/>
        </w:rPr>
        <w:t>，其中燃煤发电</w:t>
      </w:r>
      <w:r>
        <w:rPr>
          <w:rFonts w:eastAsia="仿宋_GB2312"/>
        </w:rPr>
        <w:t>新增</w:t>
      </w:r>
      <w:r>
        <w:rPr>
          <w:rFonts w:eastAsia="仿宋_GB2312" w:hint="default"/>
        </w:rPr>
        <w:t>装机容量</w:t>
      </w:r>
      <w:r>
        <w:rPr>
          <w:rFonts w:eastAsia="仿宋_GB2312"/>
        </w:rPr>
        <w:t>200</w:t>
      </w:r>
      <w:r>
        <w:rPr>
          <w:bCs/>
          <w:color w:val="333333"/>
        </w:rPr>
        <w:t>万千瓦</w:t>
      </w:r>
      <w:r>
        <w:rPr>
          <w:rFonts w:eastAsia="仿宋_GB2312" w:hint="default"/>
        </w:rPr>
        <w:t>、水电新增装机容量</w:t>
      </w:r>
      <w:r>
        <w:rPr>
          <w:rFonts w:eastAsia="仿宋_GB2312" w:hint="default"/>
        </w:rPr>
        <w:t>10</w:t>
      </w:r>
      <w:r>
        <w:rPr>
          <w:bCs/>
          <w:color w:val="333333"/>
        </w:rPr>
        <w:t>万千瓦</w:t>
      </w:r>
      <w:r>
        <w:rPr>
          <w:rFonts w:eastAsia="仿宋_GB2312" w:hint="default"/>
        </w:rPr>
        <w:t>、抽水蓄能新增装机容量</w:t>
      </w:r>
      <w:r>
        <w:rPr>
          <w:rFonts w:eastAsia="仿宋_GB2312" w:hint="default"/>
        </w:rPr>
        <w:t>240</w:t>
      </w:r>
      <w:r>
        <w:rPr>
          <w:bCs/>
          <w:color w:val="333333"/>
        </w:rPr>
        <w:t>万千瓦</w:t>
      </w:r>
      <w:r>
        <w:rPr>
          <w:rFonts w:eastAsia="仿宋_GB2312" w:hint="default"/>
        </w:rPr>
        <w:t>、生物质发电新增装机容量</w:t>
      </w:r>
      <w:r>
        <w:rPr>
          <w:rFonts w:eastAsia="仿宋_GB2312" w:hint="default"/>
        </w:rPr>
        <w:t>10</w:t>
      </w:r>
      <w:r>
        <w:rPr>
          <w:bCs/>
          <w:color w:val="333333"/>
        </w:rPr>
        <w:t>万千瓦</w:t>
      </w:r>
      <w:r>
        <w:rPr>
          <w:rFonts w:eastAsia="仿宋_GB2312" w:hint="default"/>
        </w:rPr>
        <w:t>、天然气分布式能源站新增装机容量</w:t>
      </w:r>
      <w:r>
        <w:rPr>
          <w:rFonts w:eastAsia="仿宋_GB2312" w:hint="default"/>
        </w:rPr>
        <w:t>28</w:t>
      </w:r>
      <w:r>
        <w:rPr>
          <w:rFonts w:eastAsia="仿宋_GB2312"/>
        </w:rPr>
        <w:t>.</w:t>
      </w:r>
      <w:r>
        <w:rPr>
          <w:rFonts w:eastAsia="仿宋_GB2312" w:hint="default"/>
        </w:rPr>
        <w:t>8</w:t>
      </w:r>
      <w:r>
        <w:rPr>
          <w:bCs/>
          <w:color w:val="333333"/>
        </w:rPr>
        <w:t>万千瓦</w:t>
      </w:r>
      <w:r>
        <w:rPr>
          <w:rFonts w:eastAsia="仿宋_GB2312" w:hint="default"/>
        </w:rPr>
        <w:t>，清洁能源装机容量占新增投产装机总量</w:t>
      </w:r>
      <w:r>
        <w:rPr>
          <w:rFonts w:eastAsia="仿宋_GB2312" w:hint="default"/>
        </w:rPr>
        <w:t>73.34%</w:t>
      </w:r>
      <w:r>
        <w:rPr>
          <w:rFonts w:eastAsia="仿宋_GB2312" w:hint="default"/>
        </w:rPr>
        <w:t>。</w:t>
      </w:r>
      <w:r>
        <w:rPr>
          <w:rFonts w:eastAsia="仿宋_GB2312" w:hint="default"/>
        </w:rPr>
        <w:t>20</w:t>
      </w:r>
      <w:r>
        <w:rPr>
          <w:rFonts w:eastAsia="仿宋_GB2312"/>
        </w:rPr>
        <w:t>25</w:t>
      </w:r>
      <w:r>
        <w:rPr>
          <w:rFonts w:eastAsia="仿宋_GB2312" w:hint="default"/>
        </w:rPr>
        <w:t>年清洁能源装机容量比例由</w:t>
      </w:r>
      <w:r>
        <w:rPr>
          <w:rFonts w:eastAsia="仿宋_GB2312"/>
        </w:rPr>
        <w:t>42.61</w:t>
      </w:r>
      <w:r>
        <w:rPr>
          <w:rFonts w:eastAsia="仿宋_GB2312" w:hint="default"/>
        </w:rPr>
        <w:t>%</w:t>
      </w:r>
      <w:r>
        <w:rPr>
          <w:rFonts w:eastAsia="仿宋_GB2312" w:hint="default"/>
        </w:rPr>
        <w:t>提高至</w:t>
      </w:r>
      <w:r>
        <w:rPr>
          <w:rFonts w:eastAsia="仿宋_GB2312"/>
        </w:rPr>
        <w:t>51.37</w:t>
      </w:r>
      <w:r>
        <w:rPr>
          <w:rFonts w:eastAsia="仿宋_GB2312" w:hint="default"/>
        </w:rPr>
        <w:t>%</w:t>
      </w:r>
      <w:r>
        <w:rPr>
          <w:rFonts w:eastAsia="仿宋_GB2312"/>
        </w:rPr>
        <w:t>（考虑关停塔牌集团自备电厂</w:t>
      </w:r>
      <w:r>
        <w:rPr>
          <w:rFonts w:eastAsia="仿宋_GB2312"/>
        </w:rPr>
        <w:t>6</w:t>
      </w:r>
      <w:r>
        <w:rPr>
          <w:bCs/>
          <w:color w:val="333333"/>
        </w:rPr>
        <w:t>万千瓦</w:t>
      </w:r>
      <w:r>
        <w:rPr>
          <w:rFonts w:eastAsia="仿宋_GB2312"/>
        </w:rPr>
        <w:t>机组）</w:t>
      </w:r>
      <w:r>
        <w:rPr>
          <w:rFonts w:eastAsia="仿宋_GB2312" w:hint="default"/>
        </w:rPr>
        <w:t>，提高</w:t>
      </w:r>
      <w:r>
        <w:rPr>
          <w:rFonts w:eastAsia="仿宋_GB2312"/>
        </w:rPr>
        <w:t>8.76</w:t>
      </w:r>
      <w:r>
        <w:rPr>
          <w:rFonts w:eastAsia="仿宋_GB2312" w:hint="default"/>
        </w:rPr>
        <w:t>%</w:t>
      </w:r>
      <w:r>
        <w:rPr>
          <w:rFonts w:eastAsia="仿宋_GB2312" w:hint="default"/>
        </w:rPr>
        <w:t>。</w:t>
      </w:r>
      <w:r>
        <w:rPr>
          <w:rFonts w:eastAsia="仿宋_GB2312"/>
        </w:rPr>
        <w:t>积极淘汰小锅炉，以热电联产或分布式能源站进行替代。</w:t>
      </w:r>
    </w:p>
    <w:p w:rsidR="00372A39" w:rsidRDefault="00F54C2B">
      <w:pPr>
        <w:pStyle w:val="af1"/>
        <w:ind w:firstLine="562"/>
        <w:rPr>
          <w:rFonts w:eastAsia="仿宋_GB2312" w:hint="default"/>
          <w:b/>
          <w:bCs/>
        </w:rPr>
      </w:pPr>
      <w:r>
        <w:rPr>
          <w:rFonts w:eastAsia="仿宋_GB2312" w:hint="default"/>
          <w:b/>
          <w:bCs/>
        </w:rPr>
        <w:t>着力增进能源民生福祉</w:t>
      </w:r>
      <w:r>
        <w:rPr>
          <w:rFonts w:eastAsia="仿宋_GB2312"/>
          <w:b/>
          <w:bCs/>
        </w:rPr>
        <w:t>。</w:t>
      </w:r>
      <w:r>
        <w:rPr>
          <w:rFonts w:eastAsia="仿宋_GB2312"/>
        </w:rPr>
        <w:t>增</w:t>
      </w:r>
      <w:r>
        <w:rPr>
          <w:rFonts w:eastAsia="仿宋_GB2312" w:hint="default"/>
        </w:rPr>
        <w:t>强能源普遍服务能力，持续推进新一轮农村电网改造升级，加快城镇管网工程建设，优化加油站布局，特别是偏远乡镇加油站布局，解决偏远地区生产生活用油配送供给问题，进一步改善城乡居民用能条件。</w:t>
      </w:r>
    </w:p>
    <w:p w:rsidR="00372A39" w:rsidRDefault="00F54C2B">
      <w:pPr>
        <w:pStyle w:val="af5"/>
      </w:pPr>
      <w:r>
        <w:t>表</w:t>
      </w:r>
      <w:r>
        <w:rPr>
          <w:rFonts w:hint="eastAsia"/>
        </w:rPr>
        <w:t>1</w:t>
      </w:r>
      <w:r>
        <w:t xml:space="preserve"> </w:t>
      </w:r>
      <w:r>
        <w:t>梅州市</w:t>
      </w:r>
      <w:r>
        <w:t>“</w:t>
      </w:r>
      <w:r>
        <w:t>十</w:t>
      </w:r>
      <w:r>
        <w:rPr>
          <w:rFonts w:hint="eastAsia"/>
        </w:rPr>
        <w:t>四</w:t>
      </w:r>
      <w:r>
        <w:t>五</w:t>
      </w:r>
      <w:r>
        <w:t>”</w:t>
      </w:r>
      <w:r>
        <w:t>能源发展主要目标</w:t>
      </w:r>
      <w:r>
        <w:rPr>
          <w:rFonts w:hint="eastAsia"/>
        </w:rPr>
        <w:t>预测</w:t>
      </w:r>
    </w:p>
    <w:tbl>
      <w:tblPr>
        <w:tblW w:w="8352" w:type="dxa"/>
        <w:jc w:val="center"/>
        <w:tblBorders>
          <w:top w:val="single" w:sz="12" w:space="0" w:color="auto"/>
          <w:bottom w:val="single" w:sz="12" w:space="0" w:color="auto"/>
          <w:insideH w:val="single" w:sz="4" w:space="0" w:color="auto"/>
          <w:insideV w:val="single" w:sz="4" w:space="0" w:color="auto"/>
        </w:tblBorders>
        <w:tblLayout w:type="fixed"/>
        <w:tblCellMar>
          <w:left w:w="23" w:type="dxa"/>
          <w:right w:w="23" w:type="dxa"/>
        </w:tblCellMar>
        <w:tblLook w:val="04A0"/>
      </w:tblPr>
      <w:tblGrid>
        <w:gridCol w:w="634"/>
        <w:gridCol w:w="4145"/>
        <w:gridCol w:w="1000"/>
        <w:gridCol w:w="1000"/>
        <w:gridCol w:w="1573"/>
      </w:tblGrid>
      <w:tr w:rsidR="00372A39">
        <w:trPr>
          <w:jc w:val="center"/>
        </w:trPr>
        <w:tc>
          <w:tcPr>
            <w:tcW w:w="634" w:type="dxa"/>
            <w:tcBorders>
              <w:tl2br w:val="nil"/>
              <w:tr2bl w:val="nil"/>
            </w:tcBorders>
            <w:vAlign w:val="center"/>
          </w:tcPr>
          <w:p w:rsidR="00372A39" w:rsidRDefault="00F54C2B">
            <w:pPr>
              <w:adjustRightInd w:val="0"/>
              <w:snapToGrid w:val="0"/>
              <w:jc w:val="center"/>
              <w:rPr>
                <w:rFonts w:ascii="黑体" w:eastAsia="黑体" w:hAnsi="黑体" w:cs="黑体"/>
                <w:sz w:val="21"/>
              </w:rPr>
            </w:pPr>
            <w:r>
              <w:rPr>
                <w:rFonts w:ascii="黑体" w:eastAsia="黑体" w:hAnsi="黑体" w:cs="黑体" w:hint="eastAsia"/>
                <w:sz w:val="21"/>
              </w:rPr>
              <w:t>类别</w:t>
            </w:r>
          </w:p>
        </w:tc>
        <w:tc>
          <w:tcPr>
            <w:tcW w:w="4145" w:type="dxa"/>
            <w:tcBorders>
              <w:tl2br w:val="nil"/>
              <w:tr2bl w:val="nil"/>
            </w:tcBorders>
            <w:vAlign w:val="center"/>
          </w:tcPr>
          <w:p w:rsidR="00372A39" w:rsidRDefault="00F54C2B">
            <w:pPr>
              <w:adjustRightInd w:val="0"/>
              <w:snapToGrid w:val="0"/>
              <w:jc w:val="center"/>
              <w:rPr>
                <w:rFonts w:ascii="黑体" w:eastAsia="黑体" w:hAnsi="黑体" w:cs="黑体"/>
                <w:sz w:val="21"/>
              </w:rPr>
            </w:pPr>
            <w:r>
              <w:rPr>
                <w:rFonts w:ascii="黑体" w:eastAsia="黑体" w:hAnsi="黑体" w:cs="黑体" w:hint="eastAsia"/>
                <w:sz w:val="21"/>
              </w:rPr>
              <w:t>指标</w:t>
            </w:r>
          </w:p>
        </w:tc>
        <w:tc>
          <w:tcPr>
            <w:tcW w:w="1000" w:type="dxa"/>
            <w:tcBorders>
              <w:tl2br w:val="nil"/>
              <w:tr2bl w:val="nil"/>
            </w:tcBorders>
            <w:vAlign w:val="center"/>
          </w:tcPr>
          <w:p w:rsidR="00372A39" w:rsidRDefault="00F54C2B">
            <w:pPr>
              <w:adjustRightInd w:val="0"/>
              <w:snapToGrid w:val="0"/>
              <w:jc w:val="center"/>
              <w:rPr>
                <w:rFonts w:ascii="黑体" w:eastAsia="黑体" w:hAnsi="黑体" w:cs="黑体"/>
                <w:sz w:val="21"/>
              </w:rPr>
            </w:pPr>
            <w:r>
              <w:rPr>
                <w:rFonts w:ascii="黑体" w:eastAsia="黑体" w:hAnsi="黑体" w:cs="黑体" w:hint="eastAsia"/>
                <w:sz w:val="21"/>
              </w:rPr>
              <w:t>2020年</w:t>
            </w:r>
          </w:p>
        </w:tc>
        <w:tc>
          <w:tcPr>
            <w:tcW w:w="1000" w:type="dxa"/>
            <w:tcBorders>
              <w:tl2br w:val="nil"/>
              <w:tr2bl w:val="nil"/>
            </w:tcBorders>
            <w:vAlign w:val="center"/>
          </w:tcPr>
          <w:p w:rsidR="00372A39" w:rsidRDefault="00F54C2B">
            <w:pPr>
              <w:adjustRightInd w:val="0"/>
              <w:snapToGrid w:val="0"/>
              <w:jc w:val="center"/>
              <w:rPr>
                <w:rFonts w:ascii="黑体" w:eastAsia="黑体" w:hAnsi="黑体" w:cs="黑体"/>
                <w:sz w:val="21"/>
              </w:rPr>
            </w:pPr>
            <w:r>
              <w:rPr>
                <w:rFonts w:ascii="黑体" w:eastAsia="黑体" w:hAnsi="黑体" w:cs="黑体" w:hint="eastAsia"/>
                <w:sz w:val="21"/>
              </w:rPr>
              <w:t>2025年</w:t>
            </w:r>
          </w:p>
        </w:tc>
        <w:tc>
          <w:tcPr>
            <w:tcW w:w="1573" w:type="dxa"/>
            <w:tcBorders>
              <w:tl2br w:val="nil"/>
              <w:tr2bl w:val="nil"/>
            </w:tcBorders>
            <w:vAlign w:val="center"/>
          </w:tcPr>
          <w:p w:rsidR="00372A39" w:rsidRDefault="00F54C2B">
            <w:pPr>
              <w:adjustRightInd w:val="0"/>
              <w:snapToGrid w:val="0"/>
              <w:jc w:val="center"/>
              <w:rPr>
                <w:rFonts w:ascii="黑体" w:eastAsia="黑体" w:hAnsi="黑体" w:cs="黑体"/>
                <w:sz w:val="21"/>
              </w:rPr>
            </w:pPr>
            <w:r>
              <w:rPr>
                <w:rFonts w:ascii="黑体" w:eastAsia="黑体" w:hAnsi="黑体" w:cs="黑体" w:hint="eastAsia"/>
                <w:sz w:val="21"/>
              </w:rPr>
              <w:t>“十四五”</w:t>
            </w:r>
          </w:p>
          <w:p w:rsidR="00372A39" w:rsidRDefault="00F54C2B">
            <w:pPr>
              <w:adjustRightInd w:val="0"/>
              <w:snapToGrid w:val="0"/>
              <w:jc w:val="center"/>
              <w:rPr>
                <w:rFonts w:ascii="黑体" w:eastAsia="黑体" w:hAnsi="黑体" w:cs="黑体"/>
                <w:sz w:val="21"/>
              </w:rPr>
            </w:pPr>
            <w:r>
              <w:rPr>
                <w:rFonts w:ascii="黑体" w:eastAsia="黑体" w:hAnsi="黑体" w:cs="黑体" w:hint="eastAsia"/>
                <w:sz w:val="21"/>
              </w:rPr>
              <w:t>年均增长</w:t>
            </w:r>
          </w:p>
        </w:tc>
      </w:tr>
      <w:tr w:rsidR="00372A39">
        <w:trPr>
          <w:jc w:val="center"/>
        </w:trPr>
        <w:tc>
          <w:tcPr>
            <w:tcW w:w="634" w:type="dxa"/>
            <w:vMerge w:val="restart"/>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总量</w:t>
            </w:r>
          </w:p>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控制</w:t>
            </w:r>
          </w:p>
        </w:tc>
        <w:tc>
          <w:tcPr>
            <w:tcW w:w="4145"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能源消费总量（万吨标准煤）</w:t>
            </w:r>
          </w:p>
        </w:tc>
        <w:tc>
          <w:tcPr>
            <w:tcW w:w="1000" w:type="dxa"/>
            <w:tcBorders>
              <w:tl2br w:val="nil"/>
              <w:tr2bl w:val="nil"/>
            </w:tcBorders>
            <w:vAlign w:val="center"/>
          </w:tcPr>
          <w:p w:rsidR="00372A39" w:rsidRDefault="00372A39">
            <w:pPr>
              <w:adjustRightInd w:val="0"/>
              <w:snapToGrid w:val="0"/>
              <w:jc w:val="center"/>
              <w:rPr>
                <w:rFonts w:ascii="仿宋_GB2312" w:eastAsia="仿宋_GB2312" w:hAnsi="仿宋_GB2312" w:cs="仿宋_GB2312"/>
                <w:sz w:val="21"/>
              </w:rPr>
            </w:pPr>
          </w:p>
        </w:tc>
        <w:tc>
          <w:tcPr>
            <w:tcW w:w="1000" w:type="dxa"/>
            <w:tcBorders>
              <w:tl2br w:val="nil"/>
              <w:tr2bl w:val="nil"/>
            </w:tcBorders>
            <w:vAlign w:val="center"/>
          </w:tcPr>
          <w:p w:rsidR="00372A39" w:rsidRDefault="00372A39">
            <w:pPr>
              <w:adjustRightInd w:val="0"/>
              <w:snapToGrid w:val="0"/>
              <w:jc w:val="center"/>
              <w:rPr>
                <w:rFonts w:ascii="仿宋_GB2312" w:eastAsia="仿宋_GB2312" w:hAnsi="仿宋_GB2312" w:cs="仿宋_GB2312"/>
                <w:sz w:val="21"/>
              </w:rPr>
            </w:pPr>
          </w:p>
        </w:tc>
        <w:tc>
          <w:tcPr>
            <w:tcW w:w="1573" w:type="dxa"/>
            <w:tcBorders>
              <w:tl2br w:val="nil"/>
              <w:tr2bl w:val="nil"/>
            </w:tcBorders>
            <w:vAlign w:val="center"/>
          </w:tcPr>
          <w:p w:rsidR="00372A39" w:rsidRDefault="00372A39">
            <w:pPr>
              <w:adjustRightInd w:val="0"/>
              <w:snapToGrid w:val="0"/>
              <w:jc w:val="center"/>
              <w:rPr>
                <w:rFonts w:ascii="仿宋_GB2312" w:eastAsia="仿宋_GB2312" w:hAnsi="仿宋_GB2312" w:cs="仿宋_GB2312"/>
                <w:sz w:val="21"/>
              </w:rPr>
            </w:pPr>
          </w:p>
        </w:tc>
      </w:tr>
      <w:tr w:rsidR="00372A39">
        <w:trPr>
          <w:jc w:val="center"/>
        </w:trPr>
        <w:tc>
          <w:tcPr>
            <w:tcW w:w="634" w:type="dxa"/>
            <w:vMerge/>
            <w:tcBorders>
              <w:tl2br w:val="nil"/>
              <w:tr2bl w:val="nil"/>
            </w:tcBorders>
            <w:vAlign w:val="center"/>
          </w:tcPr>
          <w:p w:rsidR="00372A39" w:rsidRDefault="00372A39">
            <w:pPr>
              <w:adjustRightInd w:val="0"/>
              <w:snapToGrid w:val="0"/>
              <w:jc w:val="center"/>
              <w:rPr>
                <w:rFonts w:ascii="仿宋_GB2312" w:eastAsia="仿宋_GB2312" w:hAnsi="仿宋_GB2312" w:cs="仿宋_GB2312"/>
                <w:sz w:val="21"/>
              </w:rPr>
            </w:pPr>
          </w:p>
        </w:tc>
        <w:tc>
          <w:tcPr>
            <w:tcW w:w="4145"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全社会用电量（亿千瓦时）</w:t>
            </w:r>
          </w:p>
        </w:tc>
        <w:tc>
          <w:tcPr>
            <w:tcW w:w="1000" w:type="dxa"/>
            <w:tcBorders>
              <w:tl2br w:val="nil"/>
              <w:tr2bl w:val="nil"/>
            </w:tcBorders>
            <w:vAlign w:val="center"/>
          </w:tcPr>
          <w:p w:rsidR="00372A39" w:rsidRDefault="00F54C2B" w:rsidP="00A64FF4">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11</w:t>
            </w:r>
            <w:r w:rsidR="00A64FF4">
              <w:rPr>
                <w:rFonts w:ascii="仿宋_GB2312" w:eastAsia="仿宋_GB2312" w:hAnsi="仿宋_GB2312" w:cs="仿宋_GB2312" w:hint="eastAsia"/>
                <w:sz w:val="21"/>
              </w:rPr>
              <w:t>1</w:t>
            </w:r>
            <w:r>
              <w:rPr>
                <w:rFonts w:ascii="仿宋_GB2312" w:eastAsia="仿宋_GB2312" w:hAnsi="仿宋_GB2312" w:cs="仿宋_GB2312" w:hint="eastAsia"/>
                <w:sz w:val="21"/>
              </w:rPr>
              <w:t>.</w:t>
            </w:r>
            <w:r w:rsidR="00A64FF4">
              <w:rPr>
                <w:rFonts w:ascii="仿宋_GB2312" w:eastAsia="仿宋_GB2312" w:hAnsi="仿宋_GB2312" w:cs="仿宋_GB2312" w:hint="eastAsia"/>
                <w:sz w:val="21"/>
              </w:rPr>
              <w:t>99</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143.5</w:t>
            </w:r>
          </w:p>
        </w:tc>
        <w:tc>
          <w:tcPr>
            <w:tcW w:w="1573" w:type="dxa"/>
            <w:tcBorders>
              <w:tl2br w:val="nil"/>
              <w:tr2bl w:val="nil"/>
            </w:tcBorders>
            <w:vAlign w:val="center"/>
          </w:tcPr>
          <w:p w:rsidR="00372A39" w:rsidRDefault="00A64FF4">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4.6</w:t>
            </w:r>
            <w:r w:rsidR="00F54C2B">
              <w:rPr>
                <w:rFonts w:ascii="仿宋_GB2312" w:eastAsia="仿宋_GB2312" w:hAnsi="仿宋_GB2312" w:cs="仿宋_GB2312" w:hint="eastAsia"/>
                <w:sz w:val="21"/>
              </w:rPr>
              <w:t>%</w:t>
            </w:r>
          </w:p>
        </w:tc>
      </w:tr>
      <w:tr w:rsidR="00372A39">
        <w:trPr>
          <w:jc w:val="center"/>
        </w:trPr>
        <w:tc>
          <w:tcPr>
            <w:tcW w:w="634" w:type="dxa"/>
            <w:vMerge w:val="restart"/>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供应</w:t>
            </w:r>
          </w:p>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能力</w:t>
            </w:r>
          </w:p>
        </w:tc>
        <w:tc>
          <w:tcPr>
            <w:tcW w:w="4145"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电力装机规模（万千瓦）</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465.24</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948.04</w:t>
            </w:r>
          </w:p>
        </w:tc>
        <w:tc>
          <w:tcPr>
            <w:tcW w:w="1573"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15.30%</w:t>
            </w:r>
          </w:p>
        </w:tc>
      </w:tr>
      <w:tr w:rsidR="00372A39">
        <w:trPr>
          <w:jc w:val="center"/>
        </w:trPr>
        <w:tc>
          <w:tcPr>
            <w:tcW w:w="634" w:type="dxa"/>
            <w:vMerge/>
            <w:tcBorders>
              <w:tl2br w:val="nil"/>
              <w:tr2bl w:val="nil"/>
            </w:tcBorders>
            <w:vAlign w:val="center"/>
          </w:tcPr>
          <w:p w:rsidR="00372A39" w:rsidRDefault="00372A39">
            <w:pPr>
              <w:adjustRightInd w:val="0"/>
              <w:snapToGrid w:val="0"/>
              <w:jc w:val="center"/>
              <w:rPr>
                <w:rFonts w:ascii="仿宋_GB2312" w:eastAsia="仿宋_GB2312" w:hAnsi="仿宋_GB2312" w:cs="仿宋_GB2312"/>
                <w:sz w:val="21"/>
              </w:rPr>
            </w:pPr>
          </w:p>
        </w:tc>
        <w:tc>
          <w:tcPr>
            <w:tcW w:w="4145" w:type="dxa"/>
            <w:tcBorders>
              <w:tl2br w:val="nil"/>
              <w:tr2bl w:val="nil"/>
            </w:tcBorders>
            <w:vAlign w:val="center"/>
          </w:tcPr>
          <w:p w:rsidR="00372A39" w:rsidRPr="00CC4D86" w:rsidRDefault="00F54C2B">
            <w:pPr>
              <w:adjustRightInd w:val="0"/>
              <w:snapToGrid w:val="0"/>
              <w:jc w:val="center"/>
              <w:rPr>
                <w:rFonts w:ascii="仿宋_GB2312" w:eastAsia="仿宋_GB2312" w:hAnsi="仿宋_GB2312" w:cs="仿宋_GB2312"/>
                <w:sz w:val="21"/>
              </w:rPr>
            </w:pPr>
            <w:r w:rsidRPr="00CC4D86">
              <w:rPr>
                <w:rFonts w:ascii="仿宋_GB2312" w:eastAsia="仿宋_GB2312" w:hAnsi="仿宋_GB2312" w:cs="仿宋_GB2312" w:hint="eastAsia"/>
                <w:sz w:val="21"/>
              </w:rPr>
              <w:t>能源综合生产能力（万吨标准煤）</w:t>
            </w:r>
          </w:p>
        </w:tc>
        <w:tc>
          <w:tcPr>
            <w:tcW w:w="1000" w:type="dxa"/>
            <w:tcBorders>
              <w:tl2br w:val="nil"/>
              <w:tr2bl w:val="nil"/>
            </w:tcBorders>
            <w:vAlign w:val="center"/>
          </w:tcPr>
          <w:p w:rsidR="00372A39" w:rsidRPr="00CC4D86" w:rsidRDefault="00F54C2B">
            <w:pPr>
              <w:adjustRightInd w:val="0"/>
              <w:snapToGrid w:val="0"/>
              <w:jc w:val="center"/>
              <w:rPr>
                <w:rFonts w:ascii="仿宋_GB2312" w:eastAsia="仿宋_GB2312" w:hAnsi="仿宋_GB2312" w:cs="仿宋_GB2312"/>
                <w:sz w:val="21"/>
              </w:rPr>
            </w:pPr>
            <w:r w:rsidRPr="00CC4D86">
              <w:rPr>
                <w:rFonts w:ascii="仿宋_GB2312" w:eastAsia="仿宋_GB2312" w:hAnsi="仿宋_GB2312" w:cs="仿宋_GB2312" w:hint="eastAsia"/>
                <w:sz w:val="21"/>
              </w:rPr>
              <w:t>59.5</w:t>
            </w:r>
          </w:p>
        </w:tc>
        <w:tc>
          <w:tcPr>
            <w:tcW w:w="1000" w:type="dxa"/>
            <w:tcBorders>
              <w:tl2br w:val="nil"/>
              <w:tr2bl w:val="nil"/>
            </w:tcBorders>
            <w:vAlign w:val="center"/>
          </w:tcPr>
          <w:p w:rsidR="00372A39" w:rsidRPr="00CC4D86" w:rsidRDefault="00A64FF4">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79.5</w:t>
            </w:r>
            <w:r w:rsidR="00F54C2B">
              <w:rPr>
                <w:rFonts w:ascii="仿宋_GB2312" w:eastAsia="仿宋_GB2312" w:hAnsi="仿宋_GB2312" w:cs="仿宋_GB2312" w:hint="eastAsia"/>
                <w:sz w:val="21"/>
              </w:rPr>
              <w:t>*</w:t>
            </w:r>
          </w:p>
        </w:tc>
        <w:tc>
          <w:tcPr>
            <w:tcW w:w="1573" w:type="dxa"/>
            <w:tcBorders>
              <w:tl2br w:val="nil"/>
              <w:tr2bl w:val="nil"/>
            </w:tcBorders>
            <w:vAlign w:val="center"/>
          </w:tcPr>
          <w:p w:rsidR="00372A39" w:rsidRPr="00CC4D86" w:rsidRDefault="00A64FF4">
            <w:pPr>
              <w:adjustRightInd w:val="0"/>
              <w:snapToGrid w:val="0"/>
              <w:jc w:val="center"/>
              <w:rPr>
                <w:rFonts w:ascii="仿宋_GB2312" w:eastAsia="仿宋_GB2312" w:hAnsi="仿宋_GB2312" w:cs="仿宋_GB2312"/>
                <w:sz w:val="21"/>
              </w:rPr>
            </w:pPr>
            <w:r w:rsidRPr="00CC4D86">
              <w:rPr>
                <w:rFonts w:ascii="仿宋_GB2312" w:eastAsia="仿宋_GB2312" w:hAnsi="仿宋_GB2312" w:cs="仿宋_GB2312" w:hint="eastAsia"/>
                <w:sz w:val="21"/>
              </w:rPr>
              <w:t>5</w:t>
            </w:r>
            <w:r w:rsidR="00F54C2B" w:rsidRPr="00CC4D86">
              <w:rPr>
                <w:rFonts w:ascii="仿宋_GB2312" w:eastAsia="仿宋_GB2312" w:hAnsi="仿宋_GB2312" w:cs="仿宋_GB2312" w:hint="eastAsia"/>
                <w:sz w:val="21"/>
              </w:rPr>
              <w:t>%</w:t>
            </w:r>
          </w:p>
        </w:tc>
      </w:tr>
      <w:tr w:rsidR="00372A39">
        <w:trPr>
          <w:jc w:val="center"/>
        </w:trPr>
        <w:tc>
          <w:tcPr>
            <w:tcW w:w="634" w:type="dxa"/>
            <w:vMerge/>
            <w:tcBorders>
              <w:tl2br w:val="nil"/>
              <w:tr2bl w:val="nil"/>
            </w:tcBorders>
            <w:vAlign w:val="center"/>
          </w:tcPr>
          <w:p w:rsidR="00372A39" w:rsidRDefault="00372A39">
            <w:pPr>
              <w:adjustRightInd w:val="0"/>
              <w:snapToGrid w:val="0"/>
              <w:jc w:val="center"/>
              <w:rPr>
                <w:rFonts w:ascii="仿宋_GB2312" w:eastAsia="仿宋_GB2312" w:hAnsi="仿宋_GB2312" w:cs="仿宋_GB2312"/>
                <w:sz w:val="21"/>
              </w:rPr>
            </w:pPr>
          </w:p>
        </w:tc>
        <w:tc>
          <w:tcPr>
            <w:tcW w:w="4145"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天然气中高压管网里程（千米）</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625.1</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797.8</w:t>
            </w:r>
          </w:p>
        </w:tc>
        <w:tc>
          <w:tcPr>
            <w:tcW w:w="1573"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5.00%</w:t>
            </w:r>
          </w:p>
        </w:tc>
      </w:tr>
      <w:tr w:rsidR="00372A39">
        <w:trPr>
          <w:trHeight w:val="277"/>
          <w:jc w:val="center"/>
        </w:trPr>
        <w:tc>
          <w:tcPr>
            <w:tcW w:w="634" w:type="dxa"/>
            <w:vMerge/>
            <w:tcBorders>
              <w:tl2br w:val="nil"/>
              <w:tr2bl w:val="nil"/>
            </w:tcBorders>
            <w:vAlign w:val="center"/>
          </w:tcPr>
          <w:p w:rsidR="00372A39" w:rsidRDefault="00372A39">
            <w:pPr>
              <w:adjustRightInd w:val="0"/>
              <w:snapToGrid w:val="0"/>
              <w:jc w:val="center"/>
              <w:rPr>
                <w:rFonts w:ascii="仿宋_GB2312" w:eastAsia="仿宋_GB2312" w:hAnsi="仿宋_GB2312" w:cs="仿宋_GB2312"/>
                <w:sz w:val="21"/>
              </w:rPr>
            </w:pPr>
          </w:p>
        </w:tc>
        <w:tc>
          <w:tcPr>
            <w:tcW w:w="4145"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110千伏以上变电站（座）</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87</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100</w:t>
            </w:r>
          </w:p>
        </w:tc>
        <w:tc>
          <w:tcPr>
            <w:tcW w:w="1573"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w:t>
            </w:r>
          </w:p>
        </w:tc>
      </w:tr>
      <w:tr w:rsidR="00372A39">
        <w:trPr>
          <w:jc w:val="center"/>
        </w:trPr>
        <w:tc>
          <w:tcPr>
            <w:tcW w:w="634" w:type="dxa"/>
            <w:vMerge w:val="restart"/>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结构</w:t>
            </w:r>
          </w:p>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优化</w:t>
            </w:r>
          </w:p>
        </w:tc>
        <w:tc>
          <w:tcPr>
            <w:tcW w:w="4145"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煤炭占一次能源消费比重（%）</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59.6</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56.6</w:t>
            </w:r>
          </w:p>
        </w:tc>
        <w:tc>
          <w:tcPr>
            <w:tcW w:w="1573"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﹝-3.0﹞</w:t>
            </w:r>
          </w:p>
        </w:tc>
      </w:tr>
      <w:tr w:rsidR="00372A39">
        <w:trPr>
          <w:jc w:val="center"/>
        </w:trPr>
        <w:tc>
          <w:tcPr>
            <w:tcW w:w="634" w:type="dxa"/>
            <w:vMerge/>
            <w:tcBorders>
              <w:tl2br w:val="nil"/>
              <w:tr2bl w:val="nil"/>
            </w:tcBorders>
            <w:vAlign w:val="center"/>
          </w:tcPr>
          <w:p w:rsidR="00372A39" w:rsidRDefault="00372A39">
            <w:pPr>
              <w:adjustRightInd w:val="0"/>
              <w:snapToGrid w:val="0"/>
              <w:jc w:val="center"/>
              <w:rPr>
                <w:rFonts w:ascii="仿宋_GB2312" w:eastAsia="仿宋_GB2312" w:hAnsi="仿宋_GB2312" w:cs="仿宋_GB2312"/>
                <w:sz w:val="21"/>
              </w:rPr>
            </w:pPr>
          </w:p>
        </w:tc>
        <w:tc>
          <w:tcPr>
            <w:tcW w:w="4145"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石油占一次能源消费比重（%）</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22.0</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21.0</w:t>
            </w:r>
          </w:p>
        </w:tc>
        <w:tc>
          <w:tcPr>
            <w:tcW w:w="1573"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﹝-1.0﹞</w:t>
            </w:r>
          </w:p>
        </w:tc>
      </w:tr>
      <w:tr w:rsidR="00372A39">
        <w:trPr>
          <w:jc w:val="center"/>
        </w:trPr>
        <w:tc>
          <w:tcPr>
            <w:tcW w:w="634" w:type="dxa"/>
            <w:vMerge/>
            <w:tcBorders>
              <w:tl2br w:val="nil"/>
              <w:tr2bl w:val="nil"/>
            </w:tcBorders>
            <w:vAlign w:val="center"/>
          </w:tcPr>
          <w:p w:rsidR="00372A39" w:rsidRDefault="00372A39">
            <w:pPr>
              <w:adjustRightInd w:val="0"/>
              <w:snapToGrid w:val="0"/>
              <w:jc w:val="center"/>
              <w:rPr>
                <w:rFonts w:ascii="仿宋_GB2312" w:eastAsia="仿宋_GB2312" w:hAnsi="仿宋_GB2312" w:cs="仿宋_GB2312"/>
                <w:sz w:val="21"/>
              </w:rPr>
            </w:pPr>
          </w:p>
        </w:tc>
        <w:tc>
          <w:tcPr>
            <w:tcW w:w="4145"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天然气占一次能源消费比重（%）</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0.6</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1.2</w:t>
            </w:r>
          </w:p>
        </w:tc>
        <w:tc>
          <w:tcPr>
            <w:tcW w:w="1573"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﹝0.6﹞</w:t>
            </w:r>
          </w:p>
        </w:tc>
      </w:tr>
      <w:tr w:rsidR="00372A39">
        <w:trPr>
          <w:jc w:val="center"/>
        </w:trPr>
        <w:tc>
          <w:tcPr>
            <w:tcW w:w="634" w:type="dxa"/>
            <w:vMerge/>
            <w:tcBorders>
              <w:tl2br w:val="nil"/>
              <w:tr2bl w:val="nil"/>
            </w:tcBorders>
            <w:vAlign w:val="center"/>
          </w:tcPr>
          <w:p w:rsidR="00372A39" w:rsidRDefault="00372A39">
            <w:pPr>
              <w:adjustRightInd w:val="0"/>
              <w:snapToGrid w:val="0"/>
              <w:jc w:val="center"/>
              <w:rPr>
                <w:rFonts w:ascii="仿宋_GB2312" w:eastAsia="仿宋_GB2312" w:hAnsi="仿宋_GB2312" w:cs="仿宋_GB2312"/>
                <w:sz w:val="21"/>
              </w:rPr>
            </w:pPr>
          </w:p>
        </w:tc>
        <w:tc>
          <w:tcPr>
            <w:tcW w:w="4145"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非化石能源占一次能源消费比重（%）</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17.8</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21.2</w:t>
            </w:r>
          </w:p>
        </w:tc>
        <w:tc>
          <w:tcPr>
            <w:tcW w:w="1573"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﹝3.4﹞</w:t>
            </w:r>
          </w:p>
        </w:tc>
      </w:tr>
      <w:tr w:rsidR="00372A39">
        <w:trPr>
          <w:jc w:val="center"/>
        </w:trPr>
        <w:tc>
          <w:tcPr>
            <w:tcW w:w="634" w:type="dxa"/>
            <w:vMerge w:val="restart"/>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节能</w:t>
            </w:r>
          </w:p>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环保</w:t>
            </w:r>
          </w:p>
        </w:tc>
        <w:tc>
          <w:tcPr>
            <w:tcW w:w="4145"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单位GDP能耗下降率（%）</w:t>
            </w:r>
          </w:p>
        </w:tc>
        <w:tc>
          <w:tcPr>
            <w:tcW w:w="1000" w:type="dxa"/>
            <w:tcBorders>
              <w:tl2br w:val="nil"/>
              <w:tr2bl w:val="nil"/>
            </w:tcBorders>
            <w:vAlign w:val="center"/>
          </w:tcPr>
          <w:p w:rsidR="00372A39" w:rsidRDefault="00A64FF4">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 xml:space="preserve"> </w:t>
            </w:r>
          </w:p>
        </w:tc>
        <w:tc>
          <w:tcPr>
            <w:tcW w:w="1000" w:type="dxa"/>
            <w:tcBorders>
              <w:tl2br w:val="nil"/>
              <w:tr2bl w:val="nil"/>
            </w:tcBorders>
            <w:vAlign w:val="center"/>
          </w:tcPr>
          <w:p w:rsidR="00372A39" w:rsidRDefault="00A64FF4">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 xml:space="preserve"> </w:t>
            </w:r>
          </w:p>
        </w:tc>
        <w:tc>
          <w:tcPr>
            <w:tcW w:w="1573" w:type="dxa"/>
            <w:tcBorders>
              <w:tl2br w:val="nil"/>
              <w:tr2bl w:val="nil"/>
            </w:tcBorders>
            <w:vAlign w:val="center"/>
          </w:tcPr>
          <w:p w:rsidR="00372A39" w:rsidRDefault="00A64FF4">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 xml:space="preserve"> </w:t>
            </w:r>
          </w:p>
        </w:tc>
      </w:tr>
      <w:tr w:rsidR="00372A39">
        <w:trPr>
          <w:jc w:val="center"/>
        </w:trPr>
        <w:tc>
          <w:tcPr>
            <w:tcW w:w="634" w:type="dxa"/>
            <w:vMerge/>
            <w:tcBorders>
              <w:tl2br w:val="nil"/>
              <w:tr2bl w:val="nil"/>
            </w:tcBorders>
            <w:vAlign w:val="center"/>
          </w:tcPr>
          <w:p w:rsidR="00372A39" w:rsidRDefault="00372A39">
            <w:pPr>
              <w:adjustRightInd w:val="0"/>
              <w:snapToGrid w:val="0"/>
              <w:jc w:val="center"/>
              <w:rPr>
                <w:rFonts w:ascii="仿宋_GB2312" w:eastAsia="仿宋_GB2312" w:hAnsi="仿宋_GB2312" w:cs="仿宋_GB2312"/>
                <w:sz w:val="21"/>
              </w:rPr>
            </w:pPr>
          </w:p>
        </w:tc>
        <w:tc>
          <w:tcPr>
            <w:tcW w:w="4145"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清洁电源装机比例（%）</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42.6</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51.4</w:t>
            </w:r>
          </w:p>
        </w:tc>
        <w:tc>
          <w:tcPr>
            <w:tcW w:w="1573"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﹝8.76﹞</w:t>
            </w:r>
          </w:p>
        </w:tc>
      </w:tr>
      <w:tr w:rsidR="00372A39">
        <w:trPr>
          <w:jc w:val="center"/>
        </w:trPr>
        <w:tc>
          <w:tcPr>
            <w:tcW w:w="634" w:type="dxa"/>
            <w:vMerge/>
            <w:tcBorders>
              <w:tl2br w:val="nil"/>
              <w:tr2bl w:val="nil"/>
            </w:tcBorders>
            <w:vAlign w:val="center"/>
          </w:tcPr>
          <w:p w:rsidR="00372A39" w:rsidRDefault="00372A39">
            <w:pPr>
              <w:adjustRightInd w:val="0"/>
              <w:snapToGrid w:val="0"/>
              <w:jc w:val="center"/>
              <w:rPr>
                <w:rFonts w:ascii="仿宋_GB2312" w:eastAsia="仿宋_GB2312" w:hAnsi="仿宋_GB2312" w:cs="仿宋_GB2312"/>
                <w:sz w:val="21"/>
              </w:rPr>
            </w:pPr>
          </w:p>
        </w:tc>
        <w:tc>
          <w:tcPr>
            <w:tcW w:w="4145"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火电供电标准煤耗（克标准煤/千瓦时）（不含循环流化床）</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320</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295</w:t>
            </w:r>
          </w:p>
        </w:tc>
        <w:tc>
          <w:tcPr>
            <w:tcW w:w="1573"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﹝-25﹞</w:t>
            </w:r>
          </w:p>
        </w:tc>
      </w:tr>
      <w:tr w:rsidR="00372A39">
        <w:trPr>
          <w:jc w:val="center"/>
        </w:trPr>
        <w:tc>
          <w:tcPr>
            <w:tcW w:w="634" w:type="dxa"/>
            <w:vMerge/>
            <w:tcBorders>
              <w:tl2br w:val="nil"/>
              <w:tr2bl w:val="nil"/>
            </w:tcBorders>
            <w:vAlign w:val="center"/>
          </w:tcPr>
          <w:p w:rsidR="00372A39" w:rsidRDefault="00372A39">
            <w:pPr>
              <w:adjustRightInd w:val="0"/>
              <w:snapToGrid w:val="0"/>
              <w:jc w:val="center"/>
              <w:rPr>
                <w:rFonts w:ascii="仿宋_GB2312" w:eastAsia="仿宋_GB2312" w:hAnsi="仿宋_GB2312" w:cs="仿宋_GB2312"/>
                <w:sz w:val="21"/>
              </w:rPr>
            </w:pPr>
          </w:p>
        </w:tc>
        <w:tc>
          <w:tcPr>
            <w:tcW w:w="4145"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电网综合线损率（%）</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4.50</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3.29</w:t>
            </w:r>
          </w:p>
        </w:tc>
        <w:tc>
          <w:tcPr>
            <w:tcW w:w="1573"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﹝-1.21﹞</w:t>
            </w:r>
          </w:p>
        </w:tc>
      </w:tr>
      <w:tr w:rsidR="00372A39">
        <w:trPr>
          <w:jc w:val="center"/>
        </w:trPr>
        <w:tc>
          <w:tcPr>
            <w:tcW w:w="634"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民生</w:t>
            </w:r>
          </w:p>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改善</w:t>
            </w:r>
          </w:p>
        </w:tc>
        <w:tc>
          <w:tcPr>
            <w:tcW w:w="4145"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城镇居民天然气普及率（%）</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54.3</w:t>
            </w:r>
          </w:p>
        </w:tc>
        <w:tc>
          <w:tcPr>
            <w:tcW w:w="1000"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74.3</w:t>
            </w:r>
          </w:p>
        </w:tc>
        <w:tc>
          <w:tcPr>
            <w:tcW w:w="1573" w:type="dxa"/>
            <w:tcBorders>
              <w:tl2br w:val="nil"/>
              <w:tr2bl w:val="nil"/>
            </w:tcBorders>
            <w:vAlign w:val="center"/>
          </w:tcPr>
          <w:p w:rsidR="00372A39" w:rsidRDefault="00F54C2B">
            <w:pPr>
              <w:adjustRightInd w:val="0"/>
              <w:snapToGrid w:val="0"/>
              <w:jc w:val="center"/>
              <w:rPr>
                <w:rFonts w:ascii="仿宋_GB2312" w:eastAsia="仿宋_GB2312" w:hAnsi="仿宋_GB2312" w:cs="仿宋_GB2312"/>
                <w:sz w:val="21"/>
              </w:rPr>
            </w:pPr>
            <w:r>
              <w:rPr>
                <w:rFonts w:ascii="仿宋_GB2312" w:eastAsia="仿宋_GB2312" w:hAnsi="仿宋_GB2312" w:cs="仿宋_GB2312" w:hint="eastAsia"/>
                <w:sz w:val="21"/>
              </w:rPr>
              <w:t>﹝20﹞</w:t>
            </w:r>
          </w:p>
        </w:tc>
      </w:tr>
    </w:tbl>
    <w:p w:rsidR="00372A39" w:rsidRDefault="00F54C2B">
      <w:pPr>
        <w:pStyle w:val="af1"/>
        <w:ind w:firstLine="420"/>
        <w:rPr>
          <w:rFonts w:hint="default"/>
          <w:b/>
        </w:rPr>
      </w:pPr>
      <w:r>
        <w:rPr>
          <w:rFonts w:ascii="楷体" w:eastAsia="楷体" w:hAnsi="楷体" w:cs="楷体"/>
          <w:sz w:val="21"/>
          <w:szCs w:val="21"/>
        </w:rPr>
        <w:t>注：①﹝﹞内为5年累计数；②*为约束性指标；</w:t>
      </w:r>
    </w:p>
    <w:p w:rsidR="00372A39" w:rsidRDefault="00F54C2B">
      <w:pPr>
        <w:pStyle w:val="af"/>
        <w:spacing w:before="290" w:after="290"/>
        <w:rPr>
          <w:rFonts w:hint="default"/>
        </w:rPr>
      </w:pPr>
      <w:bookmarkStart w:id="46" w:name="_Toc32293_WPSOffice_Level1"/>
      <w:r>
        <w:lastRenderedPageBreak/>
        <w:t>第三章</w:t>
      </w:r>
      <w:r>
        <w:t xml:space="preserve"> </w:t>
      </w:r>
      <w:r>
        <w:t>重点任务</w:t>
      </w:r>
      <w:bookmarkEnd w:id="46"/>
    </w:p>
    <w:p w:rsidR="00372A39" w:rsidRDefault="00F54C2B">
      <w:pPr>
        <w:pStyle w:val="af0"/>
        <w:spacing w:before="290" w:after="290"/>
        <w:rPr>
          <w:rFonts w:hint="default"/>
        </w:rPr>
      </w:pPr>
      <w:bookmarkStart w:id="47" w:name="_Toc19971_WPSOffice_Level2"/>
      <w:r>
        <w:t>第一节</w:t>
      </w:r>
      <w:r>
        <w:t xml:space="preserve"> </w:t>
      </w:r>
      <w:r>
        <w:t>大力推动能源清洁低碳发展</w:t>
      </w:r>
      <w:bookmarkEnd w:id="47"/>
    </w:p>
    <w:p w:rsidR="00372A39" w:rsidRDefault="00F54C2B">
      <w:pPr>
        <w:pStyle w:val="af1"/>
        <w:rPr>
          <w:rFonts w:ascii="仿宋" w:hAnsi="仿宋" w:hint="default"/>
          <w:bCs/>
          <w:color w:val="333333"/>
        </w:rPr>
      </w:pPr>
      <w:r>
        <w:rPr>
          <w:rFonts w:ascii="仿宋" w:hAnsi="仿宋"/>
          <w:bCs/>
          <w:color w:val="333333"/>
        </w:rPr>
        <w:t>“十四五”期间，按照国家和省的碳达峰方案、能源政策要求及我市实际情况，加快非化石能源发展，持续扩大天然气利用规模，合理推进煤炭清洁高效利用，在落实项目用地、用林、环境影响评价等前提下，有序推进光伏发电、风电、生物质发电等新能源和清洁能源发电项目建设。</w:t>
      </w:r>
    </w:p>
    <w:p w:rsidR="00372A39" w:rsidRDefault="00F54C2B">
      <w:pPr>
        <w:pStyle w:val="af2"/>
        <w:ind w:firstLine="562"/>
        <w:rPr>
          <w:rFonts w:hint="default"/>
        </w:rPr>
      </w:pPr>
      <w:r>
        <w:t>1.</w:t>
      </w:r>
      <w:r>
        <w:t>大力发展可再生能源。</w:t>
      </w:r>
    </w:p>
    <w:p w:rsidR="00372A39" w:rsidRDefault="00F54C2B">
      <w:pPr>
        <w:pStyle w:val="af1"/>
        <w:ind w:firstLine="562"/>
        <w:rPr>
          <w:rFonts w:ascii="仿宋" w:hAnsi="仿宋" w:hint="default"/>
          <w:bCs/>
          <w:color w:val="333333"/>
        </w:rPr>
      </w:pPr>
      <w:r>
        <w:rPr>
          <w:rFonts w:ascii="仿宋" w:hAnsi="仿宋"/>
          <w:b/>
          <w:color w:val="333333"/>
        </w:rPr>
        <w:t>——</w:t>
      </w:r>
      <w:r w:rsidR="00A64FF4">
        <w:rPr>
          <w:rFonts w:ascii="仿宋" w:hAnsi="仿宋"/>
          <w:b/>
          <w:color w:val="333333"/>
        </w:rPr>
        <w:t>有序</w:t>
      </w:r>
      <w:r>
        <w:rPr>
          <w:rFonts w:ascii="仿宋" w:hAnsi="仿宋"/>
          <w:b/>
          <w:color w:val="333333"/>
        </w:rPr>
        <w:t>发展水电。</w:t>
      </w:r>
      <w:r>
        <w:t>我市境内纵向落差大，水资源较为丰富，适宜发展抽水蓄能，发挥其调峰、调压、调相和事故备用的功能。重点推进建设梅州（五华）抽水蓄能电站一、二期工程和韩江高陂水利枢纽工程。预计“十四五”期间水电新增装机容量</w:t>
      </w:r>
      <w:r>
        <w:t>10</w:t>
      </w:r>
      <w:r>
        <w:rPr>
          <w:bCs/>
          <w:color w:val="333333"/>
        </w:rPr>
        <w:t>万千瓦</w:t>
      </w:r>
      <w:r>
        <w:t>、抽水蓄能新增装机容量</w:t>
      </w:r>
      <w:r>
        <w:t>240</w:t>
      </w:r>
      <w:r>
        <w:rPr>
          <w:bCs/>
          <w:color w:val="333333"/>
        </w:rPr>
        <w:t>万千瓦</w:t>
      </w:r>
      <w:r>
        <w:t>。</w:t>
      </w:r>
    </w:p>
    <w:p w:rsidR="00372A39" w:rsidRDefault="00F54C2B">
      <w:pPr>
        <w:pStyle w:val="af1"/>
        <w:ind w:firstLine="562"/>
        <w:rPr>
          <w:rFonts w:ascii="仿宋" w:hAnsi="仿宋" w:hint="default"/>
          <w:bCs/>
          <w:color w:val="333333"/>
        </w:rPr>
      </w:pPr>
      <w:r>
        <w:rPr>
          <w:rFonts w:ascii="仿宋" w:hAnsi="仿宋"/>
          <w:b/>
          <w:color w:val="333333"/>
        </w:rPr>
        <w:t>——</w:t>
      </w:r>
      <w:r w:rsidR="00A64FF4">
        <w:rPr>
          <w:rFonts w:ascii="仿宋" w:hAnsi="仿宋"/>
          <w:b/>
          <w:color w:val="333333"/>
        </w:rPr>
        <w:t>大力</w:t>
      </w:r>
      <w:r>
        <w:rPr>
          <w:rFonts w:ascii="仿宋" w:hAnsi="仿宋"/>
          <w:b/>
          <w:color w:val="333333"/>
        </w:rPr>
        <w:t>发展光伏发电。</w:t>
      </w:r>
      <w:r w:rsidR="00A64FF4">
        <w:t>大力</w:t>
      </w:r>
      <w:r>
        <w:t>推进屋顶分布式光伏发电，积极鼓励各类社会资本参与投资，探索新型分布式光伏建设合作模式，提高群众参与动力。持续开展光伏扶贫工程的相关运营维护工作，加强村级光伏扶贫电站监督管理，切实提高苏区群众收益。合理适度推进集中式光伏发电，结合我市土地、林地、环境影响、电网消纳等方面的实际情况，因地适宜、因时适宜发展集中式光伏。“十四五”期间，我市新增集中式光伏发电装机容量</w:t>
      </w:r>
      <w:r w:rsidR="00F33406">
        <w:rPr>
          <w:rStyle w:val="Char3"/>
        </w:rPr>
        <w:t>XX</w:t>
      </w:r>
      <w:r>
        <w:t>，分布式光伏发电装机容量</w:t>
      </w:r>
      <w:r w:rsidR="00F33406">
        <w:rPr>
          <w:rStyle w:val="Char3"/>
        </w:rPr>
        <w:t>XX</w:t>
      </w:r>
      <w:r>
        <w:t>。</w:t>
      </w:r>
    </w:p>
    <w:p w:rsidR="00372A39" w:rsidRDefault="00F54C2B">
      <w:pPr>
        <w:pStyle w:val="af1"/>
        <w:ind w:firstLine="562"/>
        <w:rPr>
          <w:rFonts w:ascii="仿宋" w:hAnsi="仿宋" w:hint="default"/>
          <w:bCs/>
          <w:color w:val="333333"/>
          <w:highlight w:val="yellow"/>
        </w:rPr>
      </w:pPr>
      <w:r>
        <w:rPr>
          <w:rFonts w:ascii="仿宋" w:hAnsi="仿宋"/>
          <w:b/>
          <w:color w:val="333333"/>
        </w:rPr>
        <w:t>——适度发展陆上风电。</w:t>
      </w:r>
      <w:r>
        <w:t>结合我市资源条件，有序推进风能资源丰富地区的陆上风电开发，强化我市清洁低碳的电源结构。预计“十</w:t>
      </w:r>
      <w:r>
        <w:lastRenderedPageBreak/>
        <w:t>四五”期间新增陆上风电装机容量约</w:t>
      </w:r>
      <w:r w:rsidR="00A64FF4">
        <w:t>5</w:t>
      </w:r>
      <w:r>
        <w:rPr>
          <w:bCs/>
          <w:color w:val="333333"/>
        </w:rPr>
        <w:t>万千瓦</w:t>
      </w:r>
      <w:r>
        <w:t>。</w:t>
      </w:r>
    </w:p>
    <w:p w:rsidR="00372A39" w:rsidRDefault="00F54C2B">
      <w:pPr>
        <w:pStyle w:val="af1"/>
        <w:ind w:firstLine="562"/>
        <w:rPr>
          <w:rFonts w:ascii="仿宋" w:hAnsi="仿宋" w:hint="default"/>
          <w:bCs/>
          <w:color w:val="333333"/>
        </w:rPr>
      </w:pPr>
      <w:r>
        <w:rPr>
          <w:rFonts w:ascii="仿宋" w:hAnsi="仿宋"/>
          <w:b/>
          <w:color w:val="333333"/>
        </w:rPr>
        <w:t>——因地制宜发展生物质。</w:t>
      </w:r>
      <w:r>
        <w:t>利用梅州市丰富的生物质资源，依托广梅帮扶平台，从广州市引入资本、技术、人力等相关资源，发展生物质产业，充分发挥生物质能的环境友好、乡村振兴和碳减排功能。在此基础上，构建生物质能源及其配套装备制造等全产业链模式，推动实现梅州市产业升级。重点推进梅州市生物质能源示范项目建设、兴宁市静脉产业园垃圾处理项目、五华县循环经济产业园生活垃圾焚烧发电项目。“十四五”期间新增生物质发电装机容量约</w:t>
      </w:r>
      <w:r>
        <w:t>10</w:t>
      </w:r>
      <w:r>
        <w:rPr>
          <w:bCs/>
          <w:color w:val="333333"/>
        </w:rPr>
        <w:t>万千瓦</w:t>
      </w:r>
      <w:r>
        <w:t>。</w:t>
      </w:r>
    </w:p>
    <w:p w:rsidR="00372A39" w:rsidRDefault="00F54C2B">
      <w:pPr>
        <w:pStyle w:val="af2"/>
        <w:ind w:firstLine="562"/>
        <w:rPr>
          <w:rFonts w:hint="default"/>
        </w:rPr>
      </w:pPr>
      <w:r>
        <w:t>2.</w:t>
      </w:r>
      <w:r>
        <w:t>积极发展天然气分布式发电。</w:t>
      </w:r>
    </w:p>
    <w:p w:rsidR="00372A39" w:rsidRDefault="00F54C2B">
      <w:pPr>
        <w:pStyle w:val="af1"/>
        <w:rPr>
          <w:rFonts w:hint="default"/>
        </w:rPr>
      </w:pPr>
      <w:r>
        <w:rPr>
          <w:rFonts w:hint="default"/>
        </w:rPr>
        <w:t>按照省推进工业园区和产业集聚区集中供热工作的要求，积极推进集中供热项目建设工作。</w:t>
      </w:r>
      <w:r>
        <w:rPr>
          <w:rFonts w:hint="default"/>
        </w:rPr>
        <w:t>“</w:t>
      </w:r>
      <w:r>
        <w:rPr>
          <w:rFonts w:hint="default"/>
        </w:rPr>
        <w:t>十四五</w:t>
      </w:r>
      <w:r>
        <w:rPr>
          <w:rFonts w:hint="default"/>
        </w:rPr>
        <w:t>”</w:t>
      </w:r>
      <w:r>
        <w:rPr>
          <w:rFonts w:hint="default"/>
        </w:rPr>
        <w:t>期间，建成广州</w:t>
      </w:r>
      <w:r>
        <w:t>（</w:t>
      </w:r>
      <w:r>
        <w:rPr>
          <w:rFonts w:hint="default"/>
        </w:rPr>
        <w:t>梅州</w:t>
      </w:r>
      <w:r>
        <w:t>）</w:t>
      </w:r>
      <w:r>
        <w:rPr>
          <w:rFonts w:hint="default"/>
        </w:rPr>
        <w:t>产业转移工业园分布式综合能源站项目和东莞石碣</w:t>
      </w:r>
      <w:r>
        <w:t>（</w:t>
      </w:r>
      <w:r>
        <w:rPr>
          <w:rFonts w:hint="default"/>
        </w:rPr>
        <w:t>兴宁</w:t>
      </w:r>
      <w:r>
        <w:t>）</w:t>
      </w:r>
      <w:r>
        <w:rPr>
          <w:rFonts w:hint="default"/>
        </w:rPr>
        <w:t>产业转移工业园分布式能源站项目，规划建设其它县</w:t>
      </w:r>
      <w:r>
        <w:t>（</w:t>
      </w:r>
      <w:r>
        <w:rPr>
          <w:rFonts w:hint="default"/>
        </w:rPr>
        <w:t>区</w:t>
      </w:r>
      <w:r>
        <w:t>）</w:t>
      </w:r>
      <w:r>
        <w:rPr>
          <w:rFonts w:hint="default"/>
        </w:rPr>
        <w:t>工业园区集中供热项目。</w:t>
      </w:r>
      <w:r>
        <w:t>“十四五”期间新增分布式天然气发电装机容量</w:t>
      </w:r>
      <w:r>
        <w:t>28.8</w:t>
      </w:r>
      <w:r>
        <w:rPr>
          <w:bCs/>
          <w:color w:val="333333"/>
        </w:rPr>
        <w:t>万千瓦</w:t>
      </w:r>
      <w:r>
        <w:t>。</w:t>
      </w:r>
    </w:p>
    <w:p w:rsidR="00372A39" w:rsidRDefault="00F54C2B">
      <w:pPr>
        <w:ind w:firstLineChars="200" w:firstLine="562"/>
        <w:outlineLvl w:val="2"/>
        <w:rPr>
          <w:b/>
          <w:bCs/>
          <w:shd w:val="clear" w:color="auto" w:fill="FFFFFF"/>
        </w:rPr>
      </w:pPr>
      <w:r>
        <w:rPr>
          <w:rFonts w:hint="eastAsia"/>
          <w:b/>
          <w:bCs/>
          <w:shd w:val="clear" w:color="auto" w:fill="FFFFFF"/>
        </w:rPr>
        <w:t>3.</w:t>
      </w:r>
      <w:r>
        <w:rPr>
          <w:rFonts w:hint="eastAsia"/>
          <w:b/>
          <w:bCs/>
          <w:shd w:val="clear" w:color="auto" w:fill="FFFFFF"/>
        </w:rPr>
        <w:t>合理发展清洁煤电。</w:t>
      </w:r>
    </w:p>
    <w:p w:rsidR="00372A39" w:rsidRDefault="00F54C2B">
      <w:pPr>
        <w:ind w:firstLineChars="200" w:firstLine="560"/>
      </w:pPr>
      <w:r>
        <w:rPr>
          <w:rFonts w:hint="eastAsia"/>
          <w:shd w:val="clear" w:color="auto" w:fill="FFFFFF"/>
        </w:rPr>
        <w:t>继续实施“上大压小”策略，逐步退出小型机组（如塔牌集团自备电厂</w:t>
      </w:r>
      <w:r>
        <w:rPr>
          <w:rFonts w:hint="eastAsia"/>
          <w:shd w:val="clear" w:color="auto" w:fill="FFFFFF"/>
        </w:rPr>
        <w:t>6</w:t>
      </w:r>
      <w:r>
        <w:rPr>
          <w:rFonts w:hint="eastAsia"/>
          <w:bCs/>
          <w:color w:val="333333"/>
          <w:shd w:val="clear" w:color="auto" w:fill="FFFFFF"/>
        </w:rPr>
        <w:t>万千瓦</w:t>
      </w:r>
      <w:r>
        <w:rPr>
          <w:rFonts w:hint="eastAsia"/>
          <w:shd w:val="clear" w:color="auto" w:fill="FFFFFF"/>
        </w:rPr>
        <w:t>机组），淘汰落后产能。我市燃煤发电厂仅剩荷树园电厂及大埔电厂，为优化粤东地区电源结构，服务广东电力快速增长的需求，我市计划在“十四五”期间推动大埔电厂二期项目两台</w:t>
      </w:r>
      <w:r>
        <w:rPr>
          <w:rFonts w:hint="eastAsia"/>
          <w:shd w:val="clear" w:color="auto" w:fill="FFFFFF"/>
        </w:rPr>
        <w:t>100</w:t>
      </w:r>
      <w:r>
        <w:rPr>
          <w:rFonts w:hint="eastAsia"/>
          <w:bCs/>
          <w:color w:val="333333"/>
          <w:shd w:val="clear" w:color="auto" w:fill="FFFFFF"/>
        </w:rPr>
        <w:t>万千瓦</w:t>
      </w:r>
      <w:r>
        <w:rPr>
          <w:rFonts w:hint="eastAsia"/>
          <w:shd w:val="clear" w:color="auto" w:fill="FFFFFF"/>
        </w:rPr>
        <w:t>超超临界燃煤发电机组建设。“十四五”预计新增投产的燃煤发电装机容量</w:t>
      </w:r>
      <w:r>
        <w:rPr>
          <w:rFonts w:hint="eastAsia"/>
          <w:shd w:val="clear" w:color="auto" w:fill="FFFFFF"/>
        </w:rPr>
        <w:t>200</w:t>
      </w:r>
      <w:r>
        <w:rPr>
          <w:rFonts w:hint="eastAsia"/>
          <w:bCs/>
          <w:color w:val="333333"/>
          <w:shd w:val="clear" w:color="auto" w:fill="FFFFFF"/>
        </w:rPr>
        <w:t>万千瓦</w:t>
      </w:r>
      <w:r>
        <w:rPr>
          <w:rFonts w:hint="eastAsia"/>
          <w:shd w:val="clear" w:color="auto" w:fill="FFFFFF"/>
        </w:rPr>
        <w:t>。</w:t>
      </w:r>
    </w:p>
    <w:p w:rsidR="00372A39" w:rsidRDefault="00F54C2B">
      <w:pPr>
        <w:pStyle w:val="af0"/>
        <w:spacing w:before="290" w:after="290"/>
        <w:rPr>
          <w:rFonts w:hint="default"/>
        </w:rPr>
      </w:pPr>
      <w:bookmarkStart w:id="48" w:name="_Toc5917_WPSOffice_Level2"/>
      <w:r>
        <w:t>第二节</w:t>
      </w:r>
      <w:r>
        <w:t xml:space="preserve"> </w:t>
      </w:r>
      <w:r>
        <w:t>完善能源运储销体系</w:t>
      </w:r>
      <w:bookmarkEnd w:id="48"/>
    </w:p>
    <w:p w:rsidR="00372A39" w:rsidRDefault="00F54C2B">
      <w:pPr>
        <w:pStyle w:val="af1"/>
        <w:rPr>
          <w:rFonts w:ascii="仿宋" w:hAnsi="仿宋" w:hint="default"/>
          <w:bCs/>
          <w:color w:val="333333"/>
        </w:rPr>
      </w:pPr>
      <w:r>
        <w:rPr>
          <w:rFonts w:ascii="仿宋" w:hAnsi="仿宋"/>
          <w:bCs/>
          <w:color w:val="333333"/>
        </w:rPr>
        <w:t>优化</w:t>
      </w:r>
      <w:r>
        <w:rPr>
          <w:rFonts w:ascii="仿宋" w:hAnsi="仿宋" w:hint="default"/>
          <w:bCs/>
          <w:color w:val="333333"/>
        </w:rPr>
        <w:t>多元化能源供应</w:t>
      </w:r>
      <w:r>
        <w:rPr>
          <w:rFonts w:ascii="仿宋" w:hAnsi="仿宋"/>
          <w:bCs/>
          <w:color w:val="333333"/>
        </w:rPr>
        <w:t>格局</w:t>
      </w:r>
      <w:r>
        <w:rPr>
          <w:rFonts w:ascii="仿宋" w:hAnsi="仿宋" w:hint="default"/>
          <w:bCs/>
          <w:color w:val="333333"/>
        </w:rPr>
        <w:t>，</w:t>
      </w:r>
      <w:r>
        <w:rPr>
          <w:rFonts w:ascii="仿宋" w:hAnsi="仿宋"/>
          <w:bCs/>
          <w:color w:val="333333"/>
        </w:rPr>
        <w:t>持续提升能源储备能力，</w:t>
      </w:r>
      <w:r>
        <w:rPr>
          <w:rFonts w:ascii="仿宋" w:hAnsi="仿宋" w:hint="default"/>
          <w:bCs/>
          <w:color w:val="333333"/>
        </w:rPr>
        <w:t>多手段、全</w:t>
      </w:r>
      <w:r>
        <w:rPr>
          <w:rFonts w:ascii="仿宋" w:hAnsi="仿宋" w:hint="default"/>
          <w:bCs/>
          <w:color w:val="333333"/>
        </w:rPr>
        <w:lastRenderedPageBreak/>
        <w:t>方位</w:t>
      </w:r>
      <w:r>
        <w:rPr>
          <w:rFonts w:ascii="仿宋" w:hAnsi="仿宋"/>
          <w:bCs/>
          <w:color w:val="333333"/>
        </w:rPr>
        <w:t>构建</w:t>
      </w:r>
      <w:r>
        <w:rPr>
          <w:rFonts w:ascii="仿宋" w:hAnsi="仿宋" w:hint="default"/>
          <w:bCs/>
          <w:color w:val="333333"/>
        </w:rPr>
        <w:t>安全可靠的</w:t>
      </w:r>
      <w:r>
        <w:rPr>
          <w:rFonts w:ascii="仿宋" w:hAnsi="仿宋"/>
          <w:bCs/>
          <w:color w:val="333333"/>
        </w:rPr>
        <w:t>现代化</w:t>
      </w:r>
      <w:r>
        <w:rPr>
          <w:rFonts w:ascii="仿宋" w:hAnsi="仿宋" w:hint="default"/>
          <w:bCs/>
          <w:color w:val="333333"/>
        </w:rPr>
        <w:t>能源保障体系</w:t>
      </w:r>
      <w:r>
        <w:rPr>
          <w:rFonts w:ascii="仿宋" w:hAnsi="仿宋"/>
          <w:bCs/>
          <w:color w:val="333333"/>
        </w:rPr>
        <w:t>。</w:t>
      </w:r>
    </w:p>
    <w:p w:rsidR="00372A39" w:rsidRDefault="00F54C2B">
      <w:pPr>
        <w:pStyle w:val="af2"/>
        <w:ind w:firstLine="562"/>
        <w:rPr>
          <w:rFonts w:hint="default"/>
        </w:rPr>
      </w:pPr>
      <w:r>
        <w:t>1.</w:t>
      </w:r>
      <w:r>
        <w:t>优化完善能源供给网络。</w:t>
      </w:r>
    </w:p>
    <w:p w:rsidR="00372A39" w:rsidRDefault="00F54C2B">
      <w:pPr>
        <w:pStyle w:val="af1"/>
        <w:ind w:firstLine="562"/>
        <w:rPr>
          <w:rFonts w:ascii="仿宋" w:hAnsi="仿宋" w:hint="default"/>
          <w:b/>
          <w:color w:val="333333"/>
        </w:rPr>
      </w:pPr>
      <w:r>
        <w:rPr>
          <w:rFonts w:ascii="仿宋" w:hAnsi="仿宋"/>
          <w:b/>
          <w:color w:val="333333"/>
        </w:rPr>
        <w:t>——优化电网建设。</w:t>
      </w:r>
    </w:p>
    <w:p w:rsidR="00372A39" w:rsidRDefault="00F54C2B">
      <w:pPr>
        <w:pStyle w:val="af1"/>
        <w:rPr>
          <w:rFonts w:hint="default"/>
        </w:rPr>
      </w:pPr>
      <w:r>
        <w:rPr>
          <w:rFonts w:hint="default"/>
        </w:rPr>
        <w:t>提升电网综合调配输送能力，满足用电需求，提高供电质量，促进智能互联，提高新能源消纳能力，推动装备提升与科技创新，打造</w:t>
      </w:r>
      <w:r>
        <w:rPr>
          <w:rFonts w:hint="default"/>
        </w:rPr>
        <w:t>“</w:t>
      </w:r>
      <w:r>
        <w:rPr>
          <w:rFonts w:hint="default"/>
        </w:rPr>
        <w:t>安全、可靠、绿色、高效</w:t>
      </w:r>
      <w:r>
        <w:rPr>
          <w:rFonts w:hint="default"/>
        </w:rPr>
        <w:t>”</w:t>
      </w:r>
      <w:r>
        <w:rPr>
          <w:rFonts w:hint="default"/>
        </w:rPr>
        <w:t>的智能电网。新增</w:t>
      </w:r>
      <w:r>
        <w:rPr>
          <w:rFonts w:hint="default"/>
        </w:rPr>
        <w:t>500</w:t>
      </w:r>
      <w:r>
        <w:t>千伏</w:t>
      </w:r>
      <w:r>
        <w:rPr>
          <w:rFonts w:hint="default"/>
        </w:rPr>
        <w:t>五华</w:t>
      </w:r>
      <w:r>
        <w:t>（</w:t>
      </w:r>
      <w:r>
        <w:rPr>
          <w:rFonts w:hint="default"/>
        </w:rPr>
        <w:t>兴宁</w:t>
      </w:r>
      <w:r>
        <w:t>）</w:t>
      </w:r>
      <w:r>
        <w:rPr>
          <w:rFonts w:hint="default"/>
        </w:rPr>
        <w:t>输变电工程、</w:t>
      </w:r>
      <w:r>
        <w:rPr>
          <w:rFonts w:hint="default"/>
        </w:rPr>
        <w:t>500</w:t>
      </w:r>
      <w:r>
        <w:t>千伏</w:t>
      </w:r>
      <w:r>
        <w:rPr>
          <w:rFonts w:hint="default"/>
        </w:rPr>
        <w:t>闽粤联网工程以及在各县</w:t>
      </w:r>
      <w:r>
        <w:t>（</w:t>
      </w:r>
      <w:r>
        <w:rPr>
          <w:rFonts w:hint="default"/>
        </w:rPr>
        <w:t>市、区</w:t>
      </w:r>
      <w:r>
        <w:t>）</w:t>
      </w:r>
      <w:r>
        <w:rPr>
          <w:rFonts w:hint="default"/>
        </w:rPr>
        <w:t>在现有的一座</w:t>
      </w:r>
      <w:r>
        <w:rPr>
          <w:rFonts w:hint="default"/>
        </w:rPr>
        <w:t>220</w:t>
      </w:r>
      <w:r>
        <w:t>千伏</w:t>
      </w:r>
      <w:r>
        <w:rPr>
          <w:rFonts w:hint="default"/>
        </w:rPr>
        <w:t>变电站基础上</w:t>
      </w:r>
      <w:r>
        <w:t>，</w:t>
      </w:r>
      <w:r>
        <w:rPr>
          <w:rFonts w:hint="default"/>
        </w:rPr>
        <w:t>规划建设第二座</w:t>
      </w:r>
      <w:r>
        <w:rPr>
          <w:rFonts w:hint="default"/>
        </w:rPr>
        <w:t>220</w:t>
      </w:r>
      <w:r>
        <w:t>千伏</w:t>
      </w:r>
      <w:r>
        <w:rPr>
          <w:rFonts w:hint="default"/>
        </w:rPr>
        <w:t>变电站及其配套</w:t>
      </w:r>
      <w:r>
        <w:rPr>
          <w:rFonts w:hint="default"/>
        </w:rPr>
        <w:t>110</w:t>
      </w:r>
      <w:r>
        <w:t>千伏</w:t>
      </w:r>
      <w:r>
        <w:rPr>
          <w:rFonts w:hint="default"/>
        </w:rPr>
        <w:t>线路工程，加强各地区协同调配能力，解决现有电网体系难以充分保障大规模的电力调配工作的问题。局部负荷稀疏和小水电集中区域保留发展</w:t>
      </w:r>
      <w:r>
        <w:rPr>
          <w:rFonts w:hint="default"/>
        </w:rPr>
        <w:t>35</w:t>
      </w:r>
      <w:r>
        <w:rPr>
          <w:rFonts w:hint="default"/>
        </w:rPr>
        <w:t>千伏配电网，重点是结合</w:t>
      </w:r>
      <w:r>
        <w:rPr>
          <w:rFonts w:hint="default"/>
        </w:rPr>
        <w:t>35</w:t>
      </w:r>
      <w:r>
        <w:rPr>
          <w:rFonts w:hint="default"/>
        </w:rPr>
        <w:t>千伏配电网现状，按</w:t>
      </w:r>
      <w:r>
        <w:rPr>
          <w:rFonts w:hint="default"/>
        </w:rPr>
        <w:t>“</w:t>
      </w:r>
      <w:r>
        <w:rPr>
          <w:rFonts w:hint="default"/>
        </w:rPr>
        <w:t>成环或成链</w:t>
      </w:r>
      <w:r>
        <w:rPr>
          <w:rFonts w:hint="default"/>
        </w:rPr>
        <w:t>”</w:t>
      </w:r>
      <w:r>
        <w:rPr>
          <w:rFonts w:hint="default"/>
        </w:rPr>
        <w:t>优化网架，提升</w:t>
      </w:r>
      <w:r>
        <w:rPr>
          <w:rFonts w:hint="default"/>
        </w:rPr>
        <w:t>35</w:t>
      </w:r>
      <w:r>
        <w:rPr>
          <w:rFonts w:hint="default"/>
        </w:rPr>
        <w:t>千伏配电网可靠性。规范</w:t>
      </w:r>
      <w:r>
        <w:rPr>
          <w:rFonts w:hint="default"/>
        </w:rPr>
        <w:t>“</w:t>
      </w:r>
      <w:r>
        <w:rPr>
          <w:rFonts w:hint="default"/>
        </w:rPr>
        <w:t>电源</w:t>
      </w:r>
      <w:r>
        <w:rPr>
          <w:rFonts w:hint="default"/>
        </w:rPr>
        <w:t>”</w:t>
      </w:r>
      <w:r>
        <w:rPr>
          <w:rFonts w:hint="default"/>
        </w:rPr>
        <w:t>接入，合理布置变电站布点，制定</w:t>
      </w:r>
      <w:r>
        <w:rPr>
          <w:rFonts w:hint="default"/>
        </w:rPr>
        <w:t>“</w:t>
      </w:r>
      <w:r>
        <w:rPr>
          <w:rFonts w:hint="default"/>
        </w:rPr>
        <w:t>一镇一站</w:t>
      </w:r>
      <w:r>
        <w:rPr>
          <w:rFonts w:hint="default"/>
        </w:rPr>
        <w:t>”</w:t>
      </w:r>
      <w:r>
        <w:rPr>
          <w:rFonts w:hint="default"/>
        </w:rPr>
        <w:t>的发展目标。</w:t>
      </w:r>
    </w:p>
    <w:p w:rsidR="00372A39" w:rsidRDefault="00F54C2B">
      <w:pPr>
        <w:pStyle w:val="af1"/>
        <w:ind w:firstLine="562"/>
        <w:rPr>
          <w:rFonts w:ascii="仿宋" w:hAnsi="仿宋" w:hint="default"/>
          <w:b/>
          <w:color w:val="333333"/>
        </w:rPr>
      </w:pPr>
      <w:r>
        <w:rPr>
          <w:rFonts w:ascii="仿宋" w:hAnsi="仿宋"/>
          <w:b/>
          <w:color w:val="333333"/>
        </w:rPr>
        <w:t>——完善天然气输配体系。</w:t>
      </w:r>
    </w:p>
    <w:p w:rsidR="00372A39" w:rsidRDefault="00F54C2B">
      <w:pPr>
        <w:pStyle w:val="af1"/>
        <w:rPr>
          <w:rFonts w:hint="default"/>
        </w:rPr>
      </w:pPr>
      <w:r>
        <w:rPr>
          <w:rFonts w:hint="default"/>
        </w:rPr>
        <w:t>推进</w:t>
      </w:r>
      <w:r w:rsidR="00A64FF4">
        <w:t>广东省天然气主干管网“县县通工程”梅州</w:t>
      </w:r>
      <w:r w:rsidR="00A64FF4">
        <w:t>-</w:t>
      </w:r>
      <w:r w:rsidR="00A64FF4">
        <w:t>五华</w:t>
      </w:r>
      <w:r w:rsidR="00A64FF4">
        <w:t>-</w:t>
      </w:r>
      <w:r w:rsidR="00A64FF4">
        <w:t>兴宁项目、梅州</w:t>
      </w:r>
      <w:r w:rsidR="00A64FF4">
        <w:t>-</w:t>
      </w:r>
      <w:r w:rsidR="00A64FF4">
        <w:t>蕉岭</w:t>
      </w:r>
      <w:r w:rsidR="00A64FF4">
        <w:t>-</w:t>
      </w:r>
      <w:r w:rsidR="00A64FF4">
        <w:t>平远项目、梅州</w:t>
      </w:r>
      <w:r w:rsidR="00A64FF4">
        <w:t>-</w:t>
      </w:r>
      <w:r w:rsidR="00A64FF4">
        <w:t>大埔项目建设，</w:t>
      </w:r>
      <w:r>
        <w:t>确保“十四五”期间实现我市天然气</w:t>
      </w:r>
      <w:r w:rsidR="00A64FF4">
        <w:t>主干</w:t>
      </w:r>
      <w:r>
        <w:t>管网的全覆盖和天然气供应能力的进一步提升。</w:t>
      </w:r>
      <w:r>
        <w:rPr>
          <w:rFonts w:hint="default"/>
        </w:rPr>
        <w:t>同时集中力量补齐城镇居民天然气利用短板，</w:t>
      </w:r>
      <w:r>
        <w:t>加强</w:t>
      </w:r>
      <w:r>
        <w:rPr>
          <w:rFonts w:hint="default"/>
        </w:rPr>
        <w:t>接</w:t>
      </w:r>
      <w:r w:rsidR="00A64FF4">
        <w:t>收门</w:t>
      </w:r>
      <w:r>
        <w:rPr>
          <w:rFonts w:hint="default"/>
        </w:rPr>
        <w:t>站和城镇天然气管道建设。</w:t>
      </w:r>
      <w:r>
        <w:t>“十四五”期间，全市建成天然气管道</w:t>
      </w:r>
      <w:r>
        <w:t>215</w:t>
      </w:r>
      <w:r>
        <w:t>公里。</w:t>
      </w:r>
    </w:p>
    <w:p w:rsidR="00372A39" w:rsidRDefault="00F54C2B">
      <w:pPr>
        <w:pStyle w:val="af1"/>
        <w:ind w:firstLine="562"/>
        <w:rPr>
          <w:rFonts w:ascii="仿宋" w:hAnsi="仿宋" w:hint="default"/>
          <w:b/>
          <w:color w:val="333333"/>
        </w:rPr>
      </w:pPr>
      <w:r>
        <w:rPr>
          <w:rFonts w:ascii="仿宋" w:hAnsi="仿宋"/>
          <w:b/>
          <w:color w:val="333333"/>
        </w:rPr>
        <w:t>——加强煤炭运输能力。</w:t>
      </w:r>
    </w:p>
    <w:p w:rsidR="00372A39" w:rsidRDefault="00F54C2B">
      <w:pPr>
        <w:pStyle w:val="af1"/>
        <w:rPr>
          <w:rFonts w:cs="Times New Roman" w:hint="default"/>
          <w:bCs/>
          <w:color w:val="333333"/>
        </w:rPr>
      </w:pPr>
      <w:r>
        <w:rPr>
          <w:rFonts w:ascii="仿宋" w:hAnsi="仿宋" w:hint="default"/>
          <w:bCs/>
          <w:color w:val="333333"/>
        </w:rPr>
        <w:t>进一步优化和完善现有煤炭储运设施，深挖铁路、公路等中转和调运系统的效率潜力。主动加强与广东省、粤东大型煤炭中转储备基地的有效对接，提升储运系统效率和煤炭资源供应的安全性。</w:t>
      </w:r>
    </w:p>
    <w:p w:rsidR="00372A39" w:rsidRDefault="00F54C2B">
      <w:pPr>
        <w:pStyle w:val="af1"/>
        <w:ind w:firstLine="562"/>
        <w:rPr>
          <w:rFonts w:ascii="仿宋" w:hAnsi="仿宋" w:hint="default"/>
          <w:b/>
          <w:color w:val="333333"/>
        </w:rPr>
      </w:pPr>
      <w:r>
        <w:rPr>
          <w:rFonts w:ascii="仿宋" w:hAnsi="仿宋"/>
          <w:b/>
          <w:color w:val="333333"/>
        </w:rPr>
        <w:t>——</w:t>
      </w:r>
      <w:r>
        <w:rPr>
          <w:rFonts w:ascii="仿宋" w:hAnsi="仿宋" w:hint="default"/>
          <w:b/>
          <w:color w:val="333333"/>
        </w:rPr>
        <w:t>优化加油站布局规划</w:t>
      </w:r>
      <w:r>
        <w:rPr>
          <w:rFonts w:ascii="仿宋" w:hAnsi="仿宋"/>
          <w:b/>
          <w:color w:val="333333"/>
        </w:rPr>
        <w:t>。</w:t>
      </w:r>
    </w:p>
    <w:p w:rsidR="00372A39" w:rsidRDefault="00F54C2B">
      <w:pPr>
        <w:pStyle w:val="af1"/>
        <w:rPr>
          <w:rFonts w:hint="default"/>
        </w:rPr>
      </w:pPr>
      <w:r>
        <w:rPr>
          <w:rFonts w:hint="default"/>
        </w:rPr>
        <w:lastRenderedPageBreak/>
        <w:t>通过加强与中国石化、中国海油等央企合作进一步优化加油站布局，特别是偏远乡镇加油站布局，解决偏远地区生产生活用油配送供给问题，新增加油站布点</w:t>
      </w:r>
      <w:r w:rsidR="00F33406">
        <w:rPr>
          <w:rStyle w:val="Char3"/>
        </w:rPr>
        <w:t>XX</w:t>
      </w:r>
      <w:r>
        <w:rPr>
          <w:rFonts w:hint="default"/>
        </w:rPr>
        <w:t>个，加强成品油领域安全监管，开展成品油市场综合整治。</w:t>
      </w:r>
    </w:p>
    <w:p w:rsidR="00372A39" w:rsidRDefault="00F54C2B">
      <w:pPr>
        <w:pStyle w:val="af2"/>
        <w:ind w:firstLine="562"/>
        <w:rPr>
          <w:rFonts w:hint="default"/>
        </w:rPr>
      </w:pPr>
      <w:r>
        <w:t>2.</w:t>
      </w:r>
      <w:r>
        <w:t>强化能源储备安全保障能力。</w:t>
      </w:r>
    </w:p>
    <w:p w:rsidR="00372A39" w:rsidRDefault="00F54C2B">
      <w:pPr>
        <w:pStyle w:val="af1"/>
        <w:ind w:firstLine="562"/>
        <w:rPr>
          <w:rFonts w:ascii="仿宋" w:hAnsi="仿宋" w:hint="default"/>
          <w:b/>
          <w:color w:val="333333"/>
        </w:rPr>
      </w:pPr>
      <w:r>
        <w:rPr>
          <w:rFonts w:ascii="仿宋" w:hAnsi="仿宋"/>
          <w:b/>
          <w:color w:val="333333"/>
        </w:rPr>
        <w:t>——</w:t>
      </w:r>
      <w:r>
        <w:rPr>
          <w:rFonts w:ascii="仿宋" w:hAnsi="仿宋" w:hint="default"/>
          <w:b/>
          <w:color w:val="333333"/>
        </w:rPr>
        <w:t>提升天然气储备能力</w:t>
      </w:r>
      <w:r>
        <w:rPr>
          <w:rFonts w:ascii="仿宋" w:hAnsi="仿宋"/>
          <w:b/>
          <w:color w:val="333333"/>
        </w:rPr>
        <w:t>。</w:t>
      </w:r>
    </w:p>
    <w:p w:rsidR="00372A39" w:rsidRDefault="00F54C2B">
      <w:pPr>
        <w:pStyle w:val="af1"/>
        <w:rPr>
          <w:rFonts w:ascii="仿宋" w:hAnsi="仿宋" w:hint="default"/>
          <w:bCs/>
          <w:color w:val="333333"/>
        </w:rPr>
      </w:pPr>
      <w:r>
        <w:rPr>
          <w:rFonts w:ascii="仿宋" w:hAnsi="仿宋" w:hint="default"/>
          <w:bCs/>
          <w:color w:val="333333"/>
        </w:rPr>
        <w:t>因地制宜、合理布局，以集中建设为主，结合购买、租赁储气设施或购买储气服务等方式履行储气责任，鼓励各类投资主体合资合作建设储气设施。加快推进城镇燃气管网规划建设，拓展、加密城燃</w:t>
      </w:r>
      <w:r w:rsidR="00F33406">
        <w:rPr>
          <w:rFonts w:ascii="仿宋" w:hAnsi="仿宋"/>
          <w:bCs/>
          <w:color w:val="333333"/>
        </w:rPr>
        <w:t>供气</w:t>
      </w:r>
      <w:r>
        <w:rPr>
          <w:rFonts w:ascii="仿宋" w:hAnsi="仿宋" w:hint="default"/>
          <w:bCs/>
          <w:color w:val="333333"/>
        </w:rPr>
        <w:t>管网，解决完善多气源、多路径供气，督促责任单位建设相应储气设施，强化供气保障能力。建立健全天然气供需预测和监测预警机制，及时对可能出现的供需不平衡问题作出判断，科学组织天然气供应，制订天然气供应应急保障预案，坚决落实民生用</w:t>
      </w:r>
      <w:r>
        <w:rPr>
          <w:rStyle w:val="Char3"/>
          <w:rFonts w:hint="default"/>
        </w:rPr>
        <w:t>气保供责任。</w:t>
      </w:r>
      <w:r>
        <w:rPr>
          <w:rStyle w:val="Char3"/>
        </w:rPr>
        <w:t>到</w:t>
      </w:r>
      <w:r>
        <w:rPr>
          <w:rStyle w:val="Char3"/>
        </w:rPr>
        <w:t>2025</w:t>
      </w:r>
      <w:r>
        <w:rPr>
          <w:rStyle w:val="Char3"/>
        </w:rPr>
        <w:t>年，天然气储气能力达到</w:t>
      </w:r>
      <w:r>
        <w:rPr>
          <w:rStyle w:val="Char3"/>
        </w:rPr>
        <w:t>XX</w:t>
      </w:r>
      <w:r>
        <w:rPr>
          <w:rStyle w:val="Char3"/>
        </w:rPr>
        <w:t>万立方米，各县政府达到平均</w:t>
      </w:r>
      <w:r w:rsidR="00F33406">
        <w:rPr>
          <w:rStyle w:val="Char3"/>
        </w:rPr>
        <w:t>3</w:t>
      </w:r>
      <w:r>
        <w:rPr>
          <w:rStyle w:val="Char3"/>
        </w:rPr>
        <w:t>天用气量的储气能力，城镇燃气企业达到不低于年用气量</w:t>
      </w:r>
      <w:r>
        <w:rPr>
          <w:rStyle w:val="Char3"/>
        </w:rPr>
        <w:t>5%</w:t>
      </w:r>
      <w:r>
        <w:rPr>
          <w:rStyle w:val="Char3"/>
        </w:rPr>
        <w:t>的储气能力。</w:t>
      </w:r>
    </w:p>
    <w:p w:rsidR="00372A39" w:rsidRDefault="00F54C2B">
      <w:pPr>
        <w:pStyle w:val="af1"/>
        <w:ind w:firstLine="562"/>
        <w:rPr>
          <w:rFonts w:ascii="仿宋" w:hAnsi="仿宋" w:hint="default"/>
          <w:b/>
          <w:color w:val="333333"/>
        </w:rPr>
      </w:pPr>
      <w:r>
        <w:rPr>
          <w:rFonts w:ascii="仿宋" w:hAnsi="仿宋"/>
          <w:b/>
          <w:color w:val="333333"/>
        </w:rPr>
        <w:t>——</w:t>
      </w:r>
      <w:r>
        <w:rPr>
          <w:rFonts w:ascii="仿宋" w:hAnsi="仿宋" w:hint="default"/>
          <w:b/>
          <w:color w:val="333333"/>
        </w:rPr>
        <w:t>推进煤炭应急储备库建设</w:t>
      </w:r>
      <w:r>
        <w:rPr>
          <w:rFonts w:ascii="仿宋" w:hAnsi="仿宋"/>
          <w:b/>
          <w:color w:val="333333"/>
        </w:rPr>
        <w:t>。</w:t>
      </w:r>
    </w:p>
    <w:p w:rsidR="00372A39" w:rsidRDefault="00F54C2B">
      <w:pPr>
        <w:pStyle w:val="af1"/>
        <w:rPr>
          <w:rFonts w:hint="default"/>
        </w:rPr>
      </w:pPr>
      <w:r>
        <w:rPr>
          <w:rFonts w:ascii="仿宋" w:hAnsi="仿宋" w:hint="default"/>
          <w:bCs/>
          <w:color w:val="333333"/>
        </w:rPr>
        <w:t>目前广东省的煤炭应急保障主要依靠神华集团位于珠海市高栏港的煤炭应急储备点，但是由于珠三角的整体能源发展趋势为煤电逐步退出，该储备点的整体区位优势不明显。梅州市可以拟建设的大埔电厂（二期）为契机，推进闽粤片区煤炭应急储备库建设，进一步提升粤东、粤北以及闽西的能源供应保障能力。</w:t>
      </w:r>
    </w:p>
    <w:p w:rsidR="00372A39" w:rsidRDefault="00372A39">
      <w:pPr>
        <w:pStyle w:val="af1"/>
        <w:ind w:firstLine="640"/>
        <w:rPr>
          <w:rFonts w:cs="Times New Roman" w:hint="default"/>
          <w:bCs/>
          <w:color w:val="333333"/>
          <w:sz w:val="32"/>
          <w:szCs w:val="32"/>
        </w:rPr>
      </w:pPr>
    </w:p>
    <w:p w:rsidR="00372A39" w:rsidRDefault="00F54C2B">
      <w:pPr>
        <w:pStyle w:val="af0"/>
        <w:spacing w:before="290" w:after="290"/>
        <w:rPr>
          <w:rFonts w:hint="default"/>
        </w:rPr>
      </w:pPr>
      <w:bookmarkStart w:id="49" w:name="_Toc18122_WPSOffice_Level2"/>
      <w:r>
        <w:t>第三节</w:t>
      </w:r>
      <w:r>
        <w:t xml:space="preserve"> </w:t>
      </w:r>
      <w:r>
        <w:t>推动能源绿色高效利用</w:t>
      </w:r>
      <w:bookmarkEnd w:id="49"/>
    </w:p>
    <w:p w:rsidR="00372A39" w:rsidRDefault="00F54C2B">
      <w:pPr>
        <w:pStyle w:val="af1"/>
        <w:rPr>
          <w:rFonts w:ascii="仿宋" w:hAnsi="仿宋" w:hint="default"/>
          <w:bCs/>
          <w:color w:val="333333"/>
        </w:rPr>
      </w:pPr>
      <w:r>
        <w:rPr>
          <w:rFonts w:ascii="仿宋" w:hAnsi="仿宋"/>
          <w:bCs/>
          <w:color w:val="333333"/>
        </w:rPr>
        <w:lastRenderedPageBreak/>
        <w:t>统筹兼顾梅州市经济社会发展和能源利用水平的地区差异，优化配置能源资源，保障合理用能，鼓励节约用能，限制过度用能，增加利用清洁能源，提高用能效益和能源智能化管理水平，促进产业结构调整和经济发展方式转变，推动梅州市能源消费绿色低碳转型。</w:t>
      </w:r>
    </w:p>
    <w:p w:rsidR="00372A39" w:rsidRDefault="00F54C2B">
      <w:pPr>
        <w:pStyle w:val="af2"/>
        <w:ind w:firstLine="562"/>
        <w:rPr>
          <w:rFonts w:hint="default"/>
        </w:rPr>
      </w:pPr>
      <w:r>
        <w:t>1.</w:t>
      </w:r>
      <w:r>
        <w:t>逐步形成能源节约型社会。</w:t>
      </w:r>
    </w:p>
    <w:p w:rsidR="00372A39" w:rsidRDefault="00F54C2B">
      <w:pPr>
        <w:pStyle w:val="af1"/>
        <w:ind w:firstLine="562"/>
        <w:rPr>
          <w:rFonts w:ascii="仿宋" w:hAnsi="仿宋" w:hint="default"/>
          <w:bCs/>
          <w:color w:val="333333"/>
        </w:rPr>
      </w:pPr>
      <w:r>
        <w:rPr>
          <w:rFonts w:ascii="仿宋" w:hAnsi="仿宋"/>
          <w:b/>
          <w:color w:val="333333"/>
        </w:rPr>
        <w:t>认真落实和完善碳达峰与能源“双控”工作。</w:t>
      </w:r>
      <w:r>
        <w:t>制定二氧化碳排放达峰行动方案，综合运用相关政策工具和手段措施，持续推动实施。结合实际提出积极明确的达峰目标，制定达峰实施方案和配套措施。鼓励能源、工业、交通、建筑等重点领域制定达峰专项方案。推动钢铁、建材、有色、化工、石化、电力、煤炭等重点行业提出明确的达峰目标并制定达峰行动方案。积极配合全国碳排放权交易市场制度建设、系统建设，充分利用市场机制控制和减少温室气体排放。健全能源消费统计体系，将“双控”目标分解至相关区（县、市），强化责任落实和监督考核。制定不同主体功能区的产业能耗准入机制，严格控制新建扩建高耗能项目，发展低能耗低排放产业，针对高耗能新上项目实行能耗等量或减量置换。充分发挥节能审查制度“源头”管理作用，落实节能审查闭环管理要求。持续淘汰落后产能，积极引导传统产能通过技术革新优化升级。落实重点用能单位“百千万”行动计划，推动与引导重点用能单位加强用能管理。开展区域节能评估工作，转变政府服务方式，在条件成熟地区的开展区域评估工作。</w:t>
      </w:r>
    </w:p>
    <w:p w:rsidR="00372A39" w:rsidRDefault="00F54C2B">
      <w:pPr>
        <w:pStyle w:val="af1"/>
        <w:ind w:firstLine="562"/>
        <w:rPr>
          <w:rFonts w:ascii="仿宋" w:hAnsi="仿宋" w:hint="default"/>
          <w:bCs/>
          <w:color w:val="333333"/>
        </w:rPr>
      </w:pPr>
      <w:r>
        <w:rPr>
          <w:rFonts w:ascii="仿宋" w:hAnsi="仿宋"/>
          <w:b/>
          <w:color w:val="333333"/>
        </w:rPr>
        <w:t>持续推进节能工作。</w:t>
      </w:r>
      <w:r>
        <w:rPr>
          <w:rFonts w:ascii="仿宋" w:hAnsi="仿宋"/>
          <w:bCs/>
          <w:color w:val="333333"/>
        </w:rPr>
        <w:t>在我市水泥、造纸、钢铁、陶瓷、建材、电力等重点行业持续开展能效对标工作，带动行业能效水平提升。鼓励建立综合能源服务企业，促进企业节能项目上马。促进新能源与清洁能源汽车示范推广应用及充电桩基础设施建设，淘汰更新“高能耗、</w:t>
      </w:r>
      <w:r>
        <w:rPr>
          <w:rFonts w:ascii="仿宋" w:hAnsi="仿宋"/>
          <w:bCs/>
          <w:color w:val="333333"/>
        </w:rPr>
        <w:lastRenderedPageBreak/>
        <w:t>高排放”公务车辆，增加新能源汽车比例。大力推广装配式建筑和绿色建筑，严格执行建筑节能标准，推进既有建筑节能改造，对宾馆、大型商场等中央空调系统及配套供能、用能系统进行全面技术改造，提高建筑整体用能效率。推广绿色照明，普及高效智能家电。鼓励公共机构采用合同能源管理、政府和社会资本合作等模式开展节能改造。重点支持节能技术改造、企业能管中心建设、企业能源在线检测系统建设、建筑节能改造、节能与循环经济发展示范项目。</w:t>
      </w:r>
    </w:p>
    <w:p w:rsidR="00372A39" w:rsidRDefault="00F54C2B">
      <w:pPr>
        <w:pStyle w:val="af2"/>
        <w:ind w:firstLine="562"/>
        <w:rPr>
          <w:rFonts w:hint="default"/>
        </w:rPr>
      </w:pPr>
      <w:r>
        <w:t>2.</w:t>
      </w:r>
      <w:r>
        <w:t>推动能源消费绿色低碳转型。</w:t>
      </w:r>
    </w:p>
    <w:p w:rsidR="00372A39" w:rsidRDefault="00F54C2B">
      <w:pPr>
        <w:pStyle w:val="af1"/>
        <w:ind w:firstLine="562"/>
        <w:rPr>
          <w:rFonts w:ascii="仿宋" w:hAnsi="仿宋" w:hint="default"/>
          <w:bCs/>
          <w:color w:val="333333"/>
        </w:rPr>
      </w:pPr>
      <w:r>
        <w:rPr>
          <w:rFonts w:ascii="仿宋" w:hAnsi="仿宋"/>
          <w:b/>
          <w:color w:val="333333"/>
        </w:rPr>
        <w:t>持续推动煤炭高效清洁利用。</w:t>
      </w:r>
      <w:r>
        <w:t>统筹推进煤电机组超低排放，进一步提高煤电高效清洁发展水平，积极规划实施灵活性改造工程，深入挖掘煤电机组调节能力，提高系统调节运行效率。鼓励运行寿命到期的火电机组开展低热值煤综合利用发电技术改造、生物质发电技术改造以及燃煤耦合生物质发电技术改造，增加不依赖调峰调频调压等配套调节措施的优质可再生能源供应，促进煤电的低碳清洁发展。预计到</w:t>
      </w:r>
      <w:r>
        <w:t>2025</w:t>
      </w:r>
      <w:r>
        <w:t>年，火电供电标准煤耗下降至</w:t>
      </w:r>
      <w:r>
        <w:t>295</w:t>
      </w:r>
      <w:r>
        <w:t>克标准煤</w:t>
      </w:r>
      <w:r>
        <w:t>/</w:t>
      </w:r>
      <w:r>
        <w:t>千瓦时。</w:t>
      </w:r>
    </w:p>
    <w:p w:rsidR="00372A39" w:rsidRDefault="00F54C2B">
      <w:pPr>
        <w:pStyle w:val="af1"/>
        <w:ind w:firstLine="562"/>
        <w:rPr>
          <w:rFonts w:ascii="仿宋" w:hAnsi="仿宋" w:hint="default"/>
          <w:bCs/>
          <w:color w:val="333333"/>
        </w:rPr>
      </w:pPr>
      <w:r>
        <w:rPr>
          <w:rFonts w:ascii="仿宋" w:hAnsi="仿宋"/>
          <w:b/>
          <w:color w:val="333333"/>
        </w:rPr>
        <w:t>进一步加快天然气推广利用。</w:t>
      </w:r>
      <w:r>
        <w:t>加快省天然气主干管网梅州段建设，推进天然气“县县通”管网、接气站和城镇天然气管道建设，提高居民天然气普及率，挖掘居民用气需求。理顺天然气价格形成机制，逐步破除天然气推广利用发面的价格障碍。按照省推进工业园区和产业集聚区集中供热工作的要求，继续深入实施以天然气为主的热电联产集中供热项目建设工作。预计到</w:t>
      </w:r>
      <w:r>
        <w:t>2025</w:t>
      </w:r>
      <w:r>
        <w:t>年，完成天然气主干管网“县县通</w:t>
      </w:r>
      <w:r w:rsidR="00F33406">
        <w:t>工程</w:t>
      </w:r>
      <w:r>
        <w:t>”，全市天然气普及率提高至</w:t>
      </w:r>
      <w:r>
        <w:t>74.3%</w:t>
      </w:r>
      <w:r>
        <w:t>，天然气消费量达到</w:t>
      </w:r>
      <w:r>
        <w:t>1</w:t>
      </w:r>
      <w:r>
        <w:t>亿立方米。</w:t>
      </w:r>
    </w:p>
    <w:p w:rsidR="00372A39" w:rsidRDefault="00F54C2B">
      <w:pPr>
        <w:pStyle w:val="af1"/>
        <w:ind w:firstLine="562"/>
        <w:rPr>
          <w:rFonts w:ascii="仿宋" w:hAnsi="仿宋" w:hint="default"/>
          <w:bCs/>
          <w:color w:val="333333"/>
        </w:rPr>
      </w:pPr>
      <w:r>
        <w:rPr>
          <w:rFonts w:ascii="仿宋" w:hAnsi="仿宋"/>
          <w:b/>
          <w:color w:val="333333"/>
        </w:rPr>
        <w:t>推进终端用能清洁化利用。</w:t>
      </w:r>
      <w:r>
        <w:t>推动清洁生产审核，以高污染高排放</w:t>
      </w:r>
      <w:r>
        <w:lastRenderedPageBreak/>
        <w:t>行业为重点推动企业开展清洁化改造，通过推广清洁生产先进技术，提升制造业企业绿色清洁生产水平。有序推广清洁能源替代，在工商业、建筑、交通、民生等领域推动“煤改气”、“煤改电”等能源清洁替代工作。积极开展新能源汽车推广工作，提高新能源汽车及智能网联汽车新车销售比例。推动交通领域自动化、智慧化及低碳化发展，加快推动充换电、加氢、智能路网等基础设施建设。电动汽车充电设施覆盖具备条件的公交首末站、三级以上客运站，同步规划、同步建设公交站场和充电设施。到</w:t>
      </w:r>
      <w:r>
        <w:t>2025</w:t>
      </w:r>
      <w:r>
        <w:t>年，力争实现全市公交</w:t>
      </w:r>
      <w:r>
        <w:t>100%</w:t>
      </w:r>
      <w:r>
        <w:t>纯电动，推动纯电动化车辆延伸到出租汽车、城市配送、城乡物流、营运货车等。</w:t>
      </w:r>
    </w:p>
    <w:p w:rsidR="00372A39" w:rsidRDefault="00F54C2B">
      <w:pPr>
        <w:pStyle w:val="af0"/>
        <w:spacing w:before="290" w:after="290"/>
        <w:rPr>
          <w:rFonts w:hint="default"/>
        </w:rPr>
      </w:pPr>
      <w:bookmarkStart w:id="50" w:name="_Toc32456_WPSOffice_Level2"/>
      <w:r>
        <w:t>第四节</w:t>
      </w:r>
      <w:r>
        <w:t xml:space="preserve"> </w:t>
      </w:r>
      <w:r>
        <w:t>推进能源产业转型升级</w:t>
      </w:r>
      <w:bookmarkEnd w:id="50"/>
    </w:p>
    <w:p w:rsidR="00372A39" w:rsidRDefault="00F54C2B">
      <w:pPr>
        <w:pStyle w:val="af2"/>
        <w:ind w:firstLine="562"/>
        <w:rPr>
          <w:rFonts w:hint="default"/>
        </w:rPr>
      </w:pPr>
      <w:r>
        <w:t>1.</w:t>
      </w:r>
      <w:r>
        <w:t>积极发展新能源和可再生能源产业。</w:t>
      </w:r>
    </w:p>
    <w:p w:rsidR="00372A39" w:rsidRDefault="00F54C2B">
      <w:pPr>
        <w:pStyle w:val="af1"/>
        <w:rPr>
          <w:rFonts w:ascii="仿宋" w:hAnsi="仿宋" w:hint="default"/>
          <w:bCs/>
          <w:color w:val="333333"/>
        </w:rPr>
      </w:pPr>
      <w:r>
        <w:rPr>
          <w:rFonts w:ascii="仿宋" w:hAnsi="仿宋"/>
          <w:bCs/>
          <w:color w:val="333333"/>
        </w:rPr>
        <w:t>结合我市资源禀赋特征有序推进新能源和可再生能源产业发展。持续开展光伏扶贫工程的相关运营维护工作，加强村级光伏扶贫电站监督管理，切实提高苏区群众收益。依托梅州市丰富的生物质资源，依托广梅帮扶平台，从广州市引入资本、技术、人力等相关资源，发展生物质产业，充分发挥生物质能的环境友好、乡村振兴和碳减排功能。在此基础上，构建生物质能源及其配套装备制造等全产业链模式，推动实现梅州市产业升级。</w:t>
      </w:r>
    </w:p>
    <w:p w:rsidR="00372A39" w:rsidRDefault="00F54C2B">
      <w:pPr>
        <w:pStyle w:val="af2"/>
        <w:ind w:firstLine="562"/>
        <w:rPr>
          <w:rFonts w:hint="default"/>
        </w:rPr>
      </w:pPr>
      <w:r>
        <w:t>2.</w:t>
      </w:r>
      <w:r>
        <w:t>有序推进新能源汽车产业转型。</w:t>
      </w:r>
    </w:p>
    <w:p w:rsidR="00372A39" w:rsidRDefault="00F54C2B">
      <w:pPr>
        <w:pStyle w:val="af1"/>
        <w:rPr>
          <w:rFonts w:hint="default"/>
        </w:rPr>
      </w:pPr>
      <w:r>
        <w:t>以新能源汽车产业集群项目为基础，瞄准市场需求，通过加大创新投入，在电机、控制系统、整车设计等领域掌握核心技术，带动我市新能源汽车产业向电动汽车关键零部件、整车生产的产业中高端领</w:t>
      </w:r>
      <w:r>
        <w:lastRenderedPageBreak/>
        <w:t>域转型。至</w:t>
      </w:r>
      <w:r>
        <w:t>2025</w:t>
      </w:r>
      <w:r>
        <w:t>年，构建起具备研发、设计、制造、销售的完整产业链，形成若干个在相关领域拥有核心技术、国内知名的新能源汽车制造企业，成为我省重要的新能源汽车产业基地。提高新能源汽车及智能网联汽车新车销售比例，加快推动充换电、加氢、智能路网等基础设施建设，为新能源汽车推广创造有利条件。“十四五”期间，全市新建充电站</w:t>
      </w:r>
      <w:r w:rsidR="00F33406">
        <w:rPr>
          <w:rStyle w:val="Char3"/>
        </w:rPr>
        <w:t>XX</w:t>
      </w:r>
      <w:r>
        <w:t>座、充电桩</w:t>
      </w:r>
      <w:r w:rsidR="00F33406">
        <w:rPr>
          <w:rStyle w:val="Char3"/>
        </w:rPr>
        <w:t>XX</w:t>
      </w:r>
      <w:r>
        <w:t>个。</w:t>
      </w:r>
    </w:p>
    <w:p w:rsidR="00372A39" w:rsidRDefault="00F54C2B">
      <w:pPr>
        <w:pStyle w:val="af2"/>
        <w:ind w:firstLine="562"/>
        <w:rPr>
          <w:rFonts w:hint="default"/>
        </w:rPr>
      </w:pPr>
      <w:r>
        <w:t>3.</w:t>
      </w:r>
      <w:r>
        <w:t>积极构建智慧能源系统。</w:t>
      </w:r>
    </w:p>
    <w:p w:rsidR="00372A39" w:rsidRDefault="00F54C2B">
      <w:pPr>
        <w:pStyle w:val="af1"/>
        <w:rPr>
          <w:rFonts w:ascii="仿宋" w:hAnsi="仿宋" w:hint="default"/>
          <w:bCs/>
          <w:color w:val="333333"/>
        </w:rPr>
      </w:pPr>
      <w:r>
        <w:t>深化信息技术对能源管理的渗透，促进能源基础设施智能化、管理信息化和公共服务智慧化。加快“互联网</w:t>
      </w:r>
      <w:r>
        <w:t>+</w:t>
      </w:r>
      <w:r>
        <w:t>”智慧能源业态发展，应用互联网、物联网等新一代信息技术对能源的生产、存储、输送和使用状况进行实时监控、分析，实现能源供给、输送和消费的智能化管控。</w:t>
      </w:r>
      <w:r>
        <w:rPr>
          <w:rFonts w:hint="default"/>
        </w:rPr>
        <w:t>推进</w:t>
      </w:r>
      <w:r>
        <w:rPr>
          <w:rFonts w:hint="default"/>
        </w:rPr>
        <w:t>“</w:t>
      </w:r>
      <w:r>
        <w:rPr>
          <w:rFonts w:hint="default"/>
        </w:rPr>
        <w:t>互联网</w:t>
      </w:r>
      <w:r>
        <w:rPr>
          <w:rFonts w:hint="default"/>
        </w:rPr>
        <w:t>+”</w:t>
      </w:r>
      <w:r>
        <w:rPr>
          <w:rFonts w:hint="default"/>
        </w:rPr>
        <w:t>智能电网建设</w:t>
      </w:r>
      <w:r>
        <w:t>，</w:t>
      </w:r>
      <w:r>
        <w:rPr>
          <w:rFonts w:hint="default"/>
        </w:rPr>
        <w:t>全面提升电力系统的智能化水平，统筹电源、网架、设备和用户协同发展，推进配网自动化技术应用，打造主干线供电半径适中和自动化开关分段合理的中压网架，提高供电可靠性</w:t>
      </w:r>
      <w:r>
        <w:t>，</w:t>
      </w:r>
      <w:r>
        <w:rPr>
          <w:rFonts w:hint="default"/>
        </w:rPr>
        <w:t>提高电网接纳和优化配置多种能源的能力，满足多元用户供需互动。</w:t>
      </w:r>
      <w:r>
        <w:t>以智慧能源为契机，谋划建设粤东区域能源综合管理数据中心。</w:t>
      </w:r>
    </w:p>
    <w:p w:rsidR="00372A39" w:rsidRDefault="00372A39"/>
    <w:p w:rsidR="00372A39" w:rsidRDefault="00F54C2B">
      <w:pPr>
        <w:pStyle w:val="af0"/>
        <w:spacing w:before="290" w:after="290"/>
        <w:rPr>
          <w:rFonts w:hint="default"/>
        </w:rPr>
      </w:pPr>
      <w:bookmarkStart w:id="51" w:name="_Toc2543_WPSOffice_Level2"/>
      <w:r>
        <w:t>第五节</w:t>
      </w:r>
      <w:r>
        <w:t xml:space="preserve"> </w:t>
      </w:r>
      <w:r>
        <w:t>加强能源治理能力</w:t>
      </w:r>
      <w:bookmarkEnd w:id="51"/>
    </w:p>
    <w:p w:rsidR="00372A39" w:rsidRDefault="00F54C2B">
      <w:pPr>
        <w:pStyle w:val="af1"/>
        <w:rPr>
          <w:rFonts w:hint="default"/>
        </w:rPr>
      </w:pPr>
      <w:r>
        <w:t>“</w:t>
      </w:r>
      <w:r>
        <w:rPr>
          <w:rFonts w:hint="default"/>
        </w:rPr>
        <w:t>十四五</w:t>
      </w:r>
      <w:r>
        <w:t>”</w:t>
      </w:r>
      <w:r>
        <w:rPr>
          <w:rFonts w:hint="default"/>
        </w:rPr>
        <w:t>时期是我国经济由高速增长向高质量发展转型的攻坚期，能源行业进入全面深化改革的关键期，面临全面推进能源消费、供给、技术和体制革命，全方位加强国际合作的新要求。在此期间，</w:t>
      </w:r>
      <w:r>
        <w:t>我市配合国家、省</w:t>
      </w:r>
      <w:r>
        <w:rPr>
          <w:rFonts w:hint="default"/>
        </w:rPr>
        <w:t>稳步推进能源领域市场化改革，优化能源供应格局，</w:t>
      </w:r>
      <w:r>
        <w:rPr>
          <w:rFonts w:hint="default"/>
        </w:rPr>
        <w:lastRenderedPageBreak/>
        <w:t>推动能源革命纵深发展，坚定深化市场化改革的方向和信心，推动能源领域实现健康稳定发展。</w:t>
      </w:r>
    </w:p>
    <w:p w:rsidR="00372A39" w:rsidRDefault="00F54C2B">
      <w:pPr>
        <w:pStyle w:val="af2"/>
        <w:ind w:firstLine="562"/>
        <w:rPr>
          <w:rFonts w:hint="default"/>
        </w:rPr>
      </w:pPr>
      <w:r>
        <w:t>1.</w:t>
      </w:r>
      <w:r>
        <w:t>进一步深化电力体制改革。</w:t>
      </w:r>
    </w:p>
    <w:p w:rsidR="00372A39" w:rsidRDefault="00F54C2B">
      <w:pPr>
        <w:pStyle w:val="af1"/>
        <w:rPr>
          <w:rFonts w:hint="default"/>
        </w:rPr>
      </w:pPr>
      <w:r>
        <w:rPr>
          <w:rFonts w:hint="default"/>
        </w:rPr>
        <w:t>从加快构建市场化电价机制、建设以需求侧为重点的泛在电力物联网两个方面支持需求响应资源发挥其作用。</w:t>
      </w:r>
      <w:r>
        <w:t>一是配合国家和广东省</w:t>
      </w:r>
      <w:r>
        <w:rPr>
          <w:rFonts w:hint="default"/>
        </w:rPr>
        <w:t>加快电力现货市场与辅助服务市场建设步伐，以可反映电力供需情况的实时电价信号激发需求响应资源潜力。深化落实</w:t>
      </w:r>
      <w:r>
        <w:t>国家和广东省</w:t>
      </w:r>
      <w:r>
        <w:rPr>
          <w:rFonts w:hint="default"/>
        </w:rPr>
        <w:t>的</w:t>
      </w:r>
      <w:r>
        <w:t>相关</w:t>
      </w:r>
      <w:r>
        <w:rPr>
          <w:rFonts w:hint="default"/>
        </w:rPr>
        <w:t>要求，加快推进电力价格市场化改革，有序放开燃煤发电上网电价，确保改革平稳实施。</w:t>
      </w:r>
      <w:r>
        <w:t>二是</w:t>
      </w:r>
      <w:r>
        <w:rPr>
          <w:rFonts w:hint="default"/>
        </w:rPr>
        <w:t>通过广泛部署用户信息、电网信息与发电信息等数据采集终端，建设泛在电力物联网，打破源</w:t>
      </w:r>
      <w:r>
        <w:rPr>
          <w:rFonts w:hint="default"/>
        </w:rPr>
        <w:t>-</w:t>
      </w:r>
      <w:r>
        <w:rPr>
          <w:rFonts w:hint="default"/>
        </w:rPr>
        <w:t>网</w:t>
      </w:r>
      <w:r>
        <w:rPr>
          <w:rFonts w:hint="default"/>
        </w:rPr>
        <w:t>-</w:t>
      </w:r>
      <w:r>
        <w:rPr>
          <w:rFonts w:hint="default"/>
        </w:rPr>
        <w:t>荷</w:t>
      </w:r>
      <w:r>
        <w:rPr>
          <w:rFonts w:hint="default"/>
        </w:rPr>
        <w:t>-</w:t>
      </w:r>
      <w:r>
        <w:rPr>
          <w:rFonts w:hint="default"/>
        </w:rPr>
        <w:t>储数据壁垒，整合系统运行、市场交易和用户用电数据，提高需求侧大数据分析能力，实现需求响应资源的智能调控。</w:t>
      </w:r>
    </w:p>
    <w:p w:rsidR="00372A39" w:rsidRDefault="00F54C2B">
      <w:pPr>
        <w:pStyle w:val="af2"/>
        <w:ind w:firstLine="562"/>
        <w:rPr>
          <w:rFonts w:hint="default"/>
        </w:rPr>
      </w:pPr>
      <w:r>
        <w:t>2.</w:t>
      </w:r>
      <w:r>
        <w:t>天然气体制改革。</w:t>
      </w:r>
    </w:p>
    <w:p w:rsidR="00372A39" w:rsidRDefault="00F54C2B">
      <w:pPr>
        <w:pStyle w:val="af1"/>
        <w:rPr>
          <w:rFonts w:hint="default"/>
        </w:rPr>
      </w:pPr>
      <w:r>
        <w:rPr>
          <w:rFonts w:hint="default"/>
        </w:rPr>
        <w:t>根据国家和广东省关于改革天然气价格形成机制的要求，着眼于长效运作，坚持统筹兼顾，综合考虑国家政策、居民承受能力、燃气企业经营状况、气源供应、财政状况等因素。一方面，理顺天然气价格结构，遵循价格规律，还原工业、商业、居民生活用气的价格高低排序</w:t>
      </w:r>
      <w:r>
        <w:t>，</w:t>
      </w:r>
      <w:r>
        <w:rPr>
          <w:rFonts w:hint="default"/>
        </w:rPr>
        <w:t>减少中间供气环节，降低用户成本。另一方面，根据终端用户的用气要求进行分类作价。</w:t>
      </w:r>
      <w:r>
        <w:t>加快天然气体制改革，</w:t>
      </w:r>
      <w:r>
        <w:rPr>
          <w:rFonts w:hint="default"/>
        </w:rPr>
        <w:t>鼓励上游供应市场多气源主体竞争，推进中游基础设施公平开放，放开下游售气市场体系。</w:t>
      </w:r>
    </w:p>
    <w:p w:rsidR="00372A39" w:rsidRDefault="00F54C2B">
      <w:pPr>
        <w:pStyle w:val="af2"/>
        <w:ind w:firstLine="562"/>
        <w:rPr>
          <w:rFonts w:hint="default"/>
        </w:rPr>
      </w:pPr>
      <w:r>
        <w:t>3.</w:t>
      </w:r>
      <w:r>
        <w:t>能源领域投融资体制改革。</w:t>
      </w:r>
    </w:p>
    <w:p w:rsidR="00372A39" w:rsidRDefault="00F54C2B">
      <w:pPr>
        <w:pStyle w:val="af1"/>
        <w:rPr>
          <w:rFonts w:hint="default"/>
        </w:rPr>
      </w:pPr>
      <w:r>
        <w:rPr>
          <w:rFonts w:hint="default"/>
        </w:rPr>
        <w:t>通过</w:t>
      </w:r>
      <w:r>
        <w:rPr>
          <w:rFonts w:hint="default"/>
        </w:rPr>
        <w:t>PPP</w:t>
      </w:r>
      <w:r>
        <w:rPr>
          <w:rFonts w:hint="default"/>
        </w:rPr>
        <w:t>、</w:t>
      </w:r>
      <w:r>
        <w:rPr>
          <w:rFonts w:hint="default"/>
        </w:rPr>
        <w:t>BOT</w:t>
      </w:r>
      <w:r>
        <w:rPr>
          <w:rFonts w:hint="default"/>
        </w:rPr>
        <w:t>、</w:t>
      </w:r>
      <w:r>
        <w:rPr>
          <w:rFonts w:hint="default"/>
        </w:rPr>
        <w:t>EPC+O</w:t>
      </w:r>
      <w:r>
        <w:rPr>
          <w:rFonts w:hint="default"/>
        </w:rPr>
        <w:t>等模式引入其他主体、资本共同开展</w:t>
      </w:r>
      <w:r>
        <w:t>包括电动汽车及充电设施、储能、市场化售电、综合能源电子商务平</w:t>
      </w:r>
      <w:r>
        <w:lastRenderedPageBreak/>
        <w:t>台等在内的</w:t>
      </w:r>
      <w:r>
        <w:rPr>
          <w:rFonts w:hint="default"/>
        </w:rPr>
        <w:t>综合能源服务相关业务，以信息共享、技术共享、价值共享的方式实现综合能源服务快速、有效落地。</w:t>
      </w:r>
      <w:r>
        <w:t>积极配合国家推动构建并完善气候投融资体系，推动资金流向低碳、具有气候韧性的领域。</w:t>
      </w:r>
    </w:p>
    <w:p w:rsidR="00372A39" w:rsidRDefault="00F54C2B">
      <w:pPr>
        <w:pStyle w:val="af2"/>
        <w:ind w:firstLine="562"/>
        <w:rPr>
          <w:rFonts w:hint="default"/>
        </w:rPr>
      </w:pPr>
      <w:bookmarkStart w:id="52" w:name="_Toc27080"/>
      <w:r>
        <w:t>4.</w:t>
      </w:r>
      <w:r>
        <w:t>响应国家、省的能源领域数字化、网络化革命</w:t>
      </w:r>
      <w:bookmarkEnd w:id="52"/>
      <w:r>
        <w:t>。</w:t>
      </w:r>
    </w:p>
    <w:p w:rsidR="00372A39" w:rsidRDefault="00F54C2B">
      <w:pPr>
        <w:pStyle w:val="af1"/>
        <w:rPr>
          <w:rFonts w:hint="default"/>
        </w:rPr>
      </w:pPr>
      <w:r>
        <w:t>结合国家、省在能源领域数字化、网络化革命方面的要求，结合我市的基础和特点</w:t>
      </w:r>
      <w:r>
        <w:rPr>
          <w:rFonts w:hint="default"/>
        </w:rPr>
        <w:t>，推动</w:t>
      </w:r>
      <w:r>
        <w:rPr>
          <w:rFonts w:hint="default"/>
        </w:rPr>
        <w:t>“</w:t>
      </w:r>
      <w:r>
        <w:rPr>
          <w:rFonts w:hint="default"/>
        </w:rPr>
        <w:t>互联网</w:t>
      </w:r>
      <w:r>
        <w:rPr>
          <w:rFonts w:hint="default"/>
        </w:rPr>
        <w:t>+”</w:t>
      </w:r>
      <w:r>
        <w:rPr>
          <w:rFonts w:hint="default"/>
        </w:rPr>
        <w:t>智慧能源建设，实现能源生产、消费、技术与体制机制的深刻变革。</w:t>
      </w:r>
    </w:p>
    <w:p w:rsidR="00372A39" w:rsidRDefault="00F54C2B">
      <w:pPr>
        <w:pStyle w:val="af0"/>
        <w:spacing w:before="290" w:after="290"/>
        <w:rPr>
          <w:rFonts w:hint="default"/>
        </w:rPr>
      </w:pPr>
      <w:bookmarkStart w:id="53" w:name="_Toc30338_WPSOffice_Level2"/>
      <w:r>
        <w:t>第六节</w:t>
      </w:r>
      <w:r>
        <w:t xml:space="preserve"> </w:t>
      </w:r>
      <w:r>
        <w:t>深化能源合作开放</w:t>
      </w:r>
      <w:bookmarkEnd w:id="53"/>
    </w:p>
    <w:p w:rsidR="00372A39" w:rsidRDefault="00F54C2B">
      <w:pPr>
        <w:pStyle w:val="af2"/>
        <w:ind w:firstLine="562"/>
        <w:rPr>
          <w:rFonts w:hint="default"/>
        </w:rPr>
      </w:pPr>
      <w:r>
        <w:t>1.</w:t>
      </w:r>
      <w:r>
        <w:t>加强区域能源基础设施互联互通</w:t>
      </w:r>
    </w:p>
    <w:p w:rsidR="00372A39" w:rsidRDefault="00F54C2B">
      <w:pPr>
        <w:pStyle w:val="af1"/>
        <w:rPr>
          <w:rFonts w:hint="default"/>
        </w:rPr>
      </w:pPr>
      <w:r>
        <w:t>进一步完善与周边地区以及泛珠三角区域输变电网络、油气管网、</w:t>
      </w:r>
      <w:r>
        <w:rPr>
          <w:rFonts w:hint="default"/>
        </w:rPr>
        <w:t>互联互通的功能，形成粤东地区</w:t>
      </w:r>
      <w:r>
        <w:t>能源</w:t>
      </w:r>
      <w:r>
        <w:rPr>
          <w:rFonts w:hint="default"/>
        </w:rPr>
        <w:t>互补格局，提高整体</w:t>
      </w:r>
      <w:r>
        <w:t>能源</w:t>
      </w:r>
      <w:r>
        <w:rPr>
          <w:rFonts w:hint="default"/>
        </w:rPr>
        <w:t>安全保障。</w:t>
      </w:r>
      <w:r>
        <w:t>结合</w:t>
      </w:r>
      <w:r>
        <w:rPr>
          <w:rFonts w:hint="default"/>
        </w:rPr>
        <w:t>我市电力产能</w:t>
      </w:r>
      <w:r>
        <w:t>情况</w:t>
      </w:r>
      <w:r>
        <w:rPr>
          <w:rFonts w:hint="default"/>
        </w:rPr>
        <w:t>，</w:t>
      </w:r>
      <w:r>
        <w:t>进一步将</w:t>
      </w:r>
      <w:r>
        <w:rPr>
          <w:rFonts w:hint="default"/>
        </w:rPr>
        <w:t>我市的电力供给纳入到大湾区和粤闽区域的大范围内统筹。</w:t>
      </w:r>
    </w:p>
    <w:p w:rsidR="00372A39" w:rsidRDefault="00F54C2B">
      <w:pPr>
        <w:pStyle w:val="af2"/>
        <w:ind w:firstLine="562"/>
        <w:rPr>
          <w:rFonts w:hint="default"/>
        </w:rPr>
      </w:pPr>
      <w:r>
        <w:t>2.</w:t>
      </w:r>
      <w:r>
        <w:rPr>
          <w:rFonts w:hint="default"/>
        </w:rPr>
        <w:t>推动能源发展国际合作</w:t>
      </w:r>
      <w:r>
        <w:t>开放</w:t>
      </w:r>
    </w:p>
    <w:p w:rsidR="00372A39" w:rsidRDefault="00F54C2B">
      <w:pPr>
        <w:pStyle w:val="af1"/>
        <w:rPr>
          <w:rFonts w:hint="default"/>
        </w:rPr>
      </w:pPr>
      <w:r>
        <w:t>积极落实“一带一路”</w:t>
      </w:r>
      <w:r w:rsidR="004E7927">
        <w:t>倡议</w:t>
      </w:r>
      <w:r>
        <w:t>，结合我市能源产业的技术优势和产品定位，针对性地参与“一带一路”沿线国家和地区的能源科技装备和资源开发合作。加强在太阳能发电、新能源汽车、储能等技术领域与国际先进公司的交流与合作。我市</w:t>
      </w:r>
      <w:r>
        <w:rPr>
          <w:rFonts w:hint="default"/>
        </w:rPr>
        <w:t>拥有以文旅带动能源软性发展的优势，</w:t>
      </w:r>
      <w:r>
        <w:t>可</w:t>
      </w:r>
      <w:r>
        <w:rPr>
          <w:rFonts w:hint="default"/>
        </w:rPr>
        <w:t>积极举办国际高水平绿色能源论坛等</w:t>
      </w:r>
      <w:r>
        <w:t>以</w:t>
      </w:r>
      <w:r>
        <w:rPr>
          <w:rFonts w:hint="default"/>
        </w:rPr>
        <w:t>加强国际合作，提升梅州市绿色能源的形象和发展水平。</w:t>
      </w:r>
    </w:p>
    <w:p w:rsidR="00372A39" w:rsidRDefault="00F54C2B">
      <w:pPr>
        <w:pStyle w:val="af0"/>
        <w:spacing w:before="290" w:after="290"/>
        <w:rPr>
          <w:rFonts w:hint="default"/>
        </w:rPr>
      </w:pPr>
      <w:bookmarkStart w:id="54" w:name="_Toc20581_WPSOffice_Level2"/>
      <w:r>
        <w:t>第七节</w:t>
      </w:r>
      <w:r>
        <w:t xml:space="preserve"> </w:t>
      </w:r>
      <w:r>
        <w:t>强化能源安全监管</w:t>
      </w:r>
      <w:bookmarkEnd w:id="54"/>
    </w:p>
    <w:p w:rsidR="00372A39" w:rsidRDefault="00F54C2B">
      <w:pPr>
        <w:pStyle w:val="af2"/>
        <w:ind w:firstLine="562"/>
        <w:rPr>
          <w:rFonts w:hint="default"/>
        </w:rPr>
      </w:pPr>
      <w:bookmarkStart w:id="55" w:name="_Toc60932859"/>
      <w:bookmarkStart w:id="56" w:name="_Toc60932725"/>
      <w:bookmarkStart w:id="57" w:name="_Toc60933002"/>
      <w:r>
        <w:t>1.</w:t>
      </w:r>
      <w:r>
        <w:t>落实能源基础设施安全生产监管。</w:t>
      </w:r>
    </w:p>
    <w:p w:rsidR="00372A39" w:rsidRDefault="00F54C2B">
      <w:pPr>
        <w:pStyle w:val="af1"/>
        <w:rPr>
          <w:rFonts w:hint="default"/>
        </w:rPr>
      </w:pPr>
      <w:r>
        <w:lastRenderedPageBreak/>
        <w:t>深入贯彻国家和省关于安全生产工作的要求部署，时刻把安全生产摆在首要位置，坚决落实安全生产责任制，遏制重特大事故发生。全面强化项目管理全过程安全生产要求，把依法依规作出的安全条件论证和安全评价，作为决策建议的重要依据。强化对项目建设过程的监督检查和运行阶段安全生产监管力度，建立健全发电厂、油气管网、充电站等能源基础设施保护和安全生产运营管理长效机制，进一步深化电力生产、油气输送管道等重点行业领域安全生产大检查，及时消除安全隐患。巩固油气管道隐患整治攻坚成果，建立完善油气管道保护长效机制，提高管道企业实施完整性管理的能力和水平，保护管道运行安全。强化日常管理，提高安全生产保障水平，提高风险管控和事故防范能力，推动安全生产和防范安全事故工作规范化、常态化，最大限度地防止安全生产事故发生。</w:t>
      </w:r>
    </w:p>
    <w:p w:rsidR="00372A39" w:rsidRDefault="00F54C2B">
      <w:pPr>
        <w:pStyle w:val="af2"/>
        <w:ind w:firstLine="562"/>
        <w:rPr>
          <w:rFonts w:hint="default"/>
        </w:rPr>
      </w:pPr>
      <w:r>
        <w:t>2.</w:t>
      </w:r>
      <w:r>
        <w:t>加强能源检测预警</w:t>
      </w:r>
    </w:p>
    <w:p w:rsidR="00372A39" w:rsidRDefault="00F54C2B">
      <w:pPr>
        <w:pStyle w:val="af1"/>
        <w:rPr>
          <w:rFonts w:hint="default"/>
        </w:rPr>
      </w:pPr>
      <w:r>
        <w:t>以省能源管理平台为基础，对梅州市现有能管平台进一步的升级改造。利用市级能源平台加强能源利用状况分析，扩大重点用能单位能耗在线监测系统覆盖面，加快重点用能单位建设接入端系统，提高省、市、企业能源管理中心数据对接质量。建立健全主要能源品种供需预测和监测预警机制，及时对可能出现的供需不平衡问题作出判断，科学组织能源供应，制订主要能源品种供应应急保障预案，坚决落实民生能源保供责任。</w:t>
      </w:r>
    </w:p>
    <w:p w:rsidR="00372A39" w:rsidRDefault="00F54C2B">
      <w:pPr>
        <w:pStyle w:val="af2"/>
        <w:ind w:firstLine="562"/>
        <w:rPr>
          <w:rFonts w:hint="default"/>
        </w:rPr>
      </w:pPr>
      <w:r>
        <w:t>3.</w:t>
      </w:r>
      <w:r>
        <w:t>完善能源应急处置能力。</w:t>
      </w:r>
    </w:p>
    <w:p w:rsidR="00372A39" w:rsidRDefault="00F54C2B">
      <w:pPr>
        <w:pStyle w:val="af1"/>
        <w:rPr>
          <w:rFonts w:hint="default"/>
        </w:rPr>
      </w:pPr>
      <w:r>
        <w:t>完善能源应急预案，健全能源应急联动机制，加强在极端天气、突发事件等特殊极端状态下的能源保障供应能力。提升应急处置能力，确保能源基础设施建设运营安全。</w:t>
      </w:r>
    </w:p>
    <w:p w:rsidR="00372A39" w:rsidRDefault="00F54C2B">
      <w:pPr>
        <w:pStyle w:val="af0"/>
        <w:spacing w:before="290" w:after="290"/>
        <w:rPr>
          <w:rFonts w:hint="default"/>
        </w:rPr>
      </w:pPr>
      <w:bookmarkStart w:id="58" w:name="_Toc18135_WPSOffice_Level2"/>
      <w:bookmarkEnd w:id="55"/>
      <w:bookmarkEnd w:id="56"/>
      <w:bookmarkEnd w:id="57"/>
      <w:r>
        <w:lastRenderedPageBreak/>
        <w:t>第八节</w:t>
      </w:r>
      <w:r>
        <w:t xml:space="preserve"> </w:t>
      </w:r>
      <w:r>
        <w:t>落实能源民生工程</w:t>
      </w:r>
      <w:bookmarkEnd w:id="58"/>
    </w:p>
    <w:p w:rsidR="00372A39" w:rsidRDefault="00F54C2B">
      <w:pPr>
        <w:pStyle w:val="af2"/>
        <w:ind w:firstLine="562"/>
        <w:rPr>
          <w:rFonts w:hint="default"/>
        </w:rPr>
      </w:pPr>
      <w:r>
        <w:t>1.</w:t>
      </w:r>
      <w:r>
        <w:t>推动乡镇、农村电网改造升级。</w:t>
      </w:r>
    </w:p>
    <w:p w:rsidR="00372A39" w:rsidRDefault="00F54C2B">
      <w:pPr>
        <w:pStyle w:val="af1"/>
        <w:rPr>
          <w:rFonts w:cs="Times New Roman" w:hint="default"/>
          <w:bCs/>
        </w:rPr>
      </w:pPr>
      <w:r>
        <w:rPr>
          <w:rFonts w:cs="Times New Roman"/>
          <w:bCs/>
        </w:rPr>
        <w:t>实施新一轮农网改造升级工程，加快新型小乡镇、中心村电网和农业生产供电设施改造升级，提升农村配网建设、运维水平，提高农村电网供电可靠率，建设安全、可靠、绿色、高效的农村智能电网。同时根据农村自身条件与用能习惯，因地制宜地推进分布式可再生能源开发利用，实现农村能源多元化供给，构建农村分布式低碳能源网络。结合“农光互补”、“光伏扶贫”等分布式能源发展模式，建设可再生能源就地消纳的农村配网示范工程。“十四五”期间，梅州农村地区配电网建设规划投资</w:t>
      </w:r>
      <w:r>
        <w:rPr>
          <w:rFonts w:cs="Times New Roman"/>
          <w:bCs/>
        </w:rPr>
        <w:t>35.68</w:t>
      </w:r>
      <w:r>
        <w:rPr>
          <w:rFonts w:cs="Times New Roman"/>
          <w:bCs/>
        </w:rPr>
        <w:t>亿元，规划新建及改造</w:t>
      </w:r>
      <w:r>
        <w:rPr>
          <w:rFonts w:cs="Times New Roman"/>
          <w:bCs/>
        </w:rPr>
        <w:t>110</w:t>
      </w:r>
      <w:r>
        <w:rPr>
          <w:rFonts w:cs="Times New Roman"/>
          <w:bCs/>
        </w:rPr>
        <w:t>千伏及以下变电站</w:t>
      </w:r>
      <w:r>
        <w:rPr>
          <w:rFonts w:cs="Times New Roman"/>
          <w:bCs/>
        </w:rPr>
        <w:t>34</w:t>
      </w:r>
      <w:r>
        <w:rPr>
          <w:rFonts w:cs="Times New Roman"/>
          <w:bCs/>
        </w:rPr>
        <w:t>座，变电容量</w:t>
      </w:r>
      <w:r>
        <w:rPr>
          <w:rFonts w:cs="Times New Roman"/>
          <w:bCs/>
        </w:rPr>
        <w:t>76</w:t>
      </w:r>
      <w:r>
        <w:rPr>
          <w:rFonts w:cs="Times New Roman"/>
          <w:bCs/>
        </w:rPr>
        <w:t>万千伏安，新建及改造</w:t>
      </w:r>
      <w:r>
        <w:rPr>
          <w:rFonts w:cs="Times New Roman"/>
          <w:bCs/>
        </w:rPr>
        <w:t>10</w:t>
      </w:r>
      <w:r>
        <w:rPr>
          <w:rFonts w:cs="Times New Roman"/>
          <w:bCs/>
        </w:rPr>
        <w:t>千伏线路</w:t>
      </w:r>
      <w:r>
        <w:rPr>
          <w:rFonts w:cs="Times New Roman"/>
          <w:bCs/>
        </w:rPr>
        <w:t>3855</w:t>
      </w:r>
      <w:r>
        <w:rPr>
          <w:rFonts w:cs="Times New Roman"/>
          <w:bCs/>
        </w:rPr>
        <w:t>千米，新建及改造配变</w:t>
      </w:r>
      <w:r>
        <w:rPr>
          <w:rFonts w:cs="Times New Roman"/>
          <w:bCs/>
        </w:rPr>
        <w:t>3434</w:t>
      </w:r>
      <w:r>
        <w:rPr>
          <w:rFonts w:cs="Times New Roman"/>
          <w:bCs/>
        </w:rPr>
        <w:t>台，配变容量</w:t>
      </w:r>
      <w:r>
        <w:rPr>
          <w:rFonts w:cs="Times New Roman"/>
          <w:bCs/>
        </w:rPr>
        <w:t>79</w:t>
      </w:r>
      <w:r>
        <w:rPr>
          <w:rFonts w:cs="Times New Roman"/>
          <w:bCs/>
        </w:rPr>
        <w:t>万千伏安。至</w:t>
      </w:r>
      <w:r>
        <w:rPr>
          <w:rFonts w:cs="Times New Roman"/>
          <w:bCs/>
        </w:rPr>
        <w:t>2025</w:t>
      </w:r>
      <w:r>
        <w:rPr>
          <w:rFonts w:cs="Times New Roman"/>
          <w:bCs/>
        </w:rPr>
        <w:t>年，农网地区供电可靠率达</w:t>
      </w:r>
      <w:r>
        <w:rPr>
          <w:rFonts w:cs="Times New Roman"/>
          <w:bCs/>
        </w:rPr>
        <w:t>99.92%</w:t>
      </w:r>
      <w:r>
        <w:rPr>
          <w:rFonts w:cs="Times New Roman"/>
          <w:bCs/>
        </w:rPr>
        <w:t>，户均配变容量</w:t>
      </w:r>
      <w:r>
        <w:rPr>
          <w:rFonts w:cs="Times New Roman"/>
          <w:bCs/>
        </w:rPr>
        <w:t>2.36</w:t>
      </w:r>
      <w:r>
        <w:rPr>
          <w:rFonts w:cs="Times New Roman"/>
          <w:bCs/>
        </w:rPr>
        <w:t>千伏安</w:t>
      </w:r>
      <w:r>
        <w:rPr>
          <w:rFonts w:cs="Times New Roman"/>
          <w:bCs/>
        </w:rPr>
        <w:t>/</w:t>
      </w:r>
      <w:r>
        <w:rPr>
          <w:rFonts w:cs="Times New Roman"/>
          <w:bCs/>
        </w:rPr>
        <w:t>户，综合电压合格率</w:t>
      </w:r>
      <w:r>
        <w:rPr>
          <w:rFonts w:cs="Times New Roman"/>
          <w:bCs/>
        </w:rPr>
        <w:t>99.99%</w:t>
      </w:r>
      <w:r>
        <w:rPr>
          <w:rFonts w:cs="Times New Roman"/>
          <w:bCs/>
        </w:rPr>
        <w:t>，农网地区可转供电率达</w:t>
      </w:r>
      <w:r>
        <w:rPr>
          <w:rFonts w:cs="Times New Roman"/>
          <w:bCs/>
        </w:rPr>
        <w:t>93.54%</w:t>
      </w:r>
      <w:r>
        <w:rPr>
          <w:rFonts w:cs="Times New Roman"/>
          <w:bCs/>
        </w:rPr>
        <w:t>，基本建成城乡统筹、安全可靠、经济高效、技术先进、环境友好的新型农村电网。</w:t>
      </w:r>
    </w:p>
    <w:p w:rsidR="00372A39" w:rsidRDefault="00F54C2B">
      <w:pPr>
        <w:pStyle w:val="af2"/>
        <w:ind w:firstLine="562"/>
        <w:rPr>
          <w:rFonts w:hint="default"/>
        </w:rPr>
      </w:pPr>
      <w:r>
        <w:t>2.</w:t>
      </w:r>
      <w:r>
        <w:t>加强</w:t>
      </w:r>
      <w:r>
        <w:rPr>
          <w:rFonts w:hint="default"/>
        </w:rPr>
        <w:t>城镇居民天然气</w:t>
      </w:r>
      <w:r>
        <w:t>推广普及。</w:t>
      </w:r>
    </w:p>
    <w:p w:rsidR="00372A39" w:rsidRDefault="00F54C2B">
      <w:pPr>
        <w:pStyle w:val="af1"/>
        <w:rPr>
          <w:rFonts w:hint="default"/>
        </w:rPr>
      </w:pPr>
      <w:r>
        <w:t>加强</w:t>
      </w:r>
      <w:r>
        <w:rPr>
          <w:rFonts w:hint="default"/>
        </w:rPr>
        <w:t>接气站和城镇天然气管道建设，按照</w:t>
      </w:r>
      <w:r>
        <w:rPr>
          <w:rFonts w:hint="default"/>
        </w:rPr>
        <w:t>“</w:t>
      </w:r>
      <w:r>
        <w:rPr>
          <w:rFonts w:hint="default"/>
        </w:rPr>
        <w:t>能快则快、能通则通</w:t>
      </w:r>
      <w:r>
        <w:rPr>
          <w:rFonts w:hint="default"/>
        </w:rPr>
        <w:t>”</w:t>
      </w:r>
      <w:r>
        <w:rPr>
          <w:rFonts w:hint="default"/>
        </w:rPr>
        <w:t>的目标要求，</w:t>
      </w:r>
      <w:r>
        <w:t>加快推进</w:t>
      </w:r>
      <w:r>
        <w:rPr>
          <w:rFonts w:hint="default"/>
        </w:rPr>
        <w:t>天然气</w:t>
      </w:r>
      <w:r>
        <w:rPr>
          <w:rFonts w:hint="default"/>
        </w:rPr>
        <w:t>“</w:t>
      </w:r>
      <w:r>
        <w:rPr>
          <w:rFonts w:hint="default"/>
        </w:rPr>
        <w:t>县县通</w:t>
      </w:r>
      <w:r>
        <w:rPr>
          <w:rFonts w:hint="default"/>
        </w:rPr>
        <w:t>”</w:t>
      </w:r>
      <w:r>
        <w:rPr>
          <w:rFonts w:hint="default"/>
        </w:rPr>
        <w:t>工程</w:t>
      </w:r>
      <w:r>
        <w:t>建设</w:t>
      </w:r>
      <w:r>
        <w:rPr>
          <w:rFonts w:hint="default"/>
        </w:rPr>
        <w:t>，努力扩大</w:t>
      </w:r>
      <w:r>
        <w:rPr>
          <w:rFonts w:hint="default"/>
        </w:rPr>
        <w:t>“</w:t>
      </w:r>
      <w:r>
        <w:rPr>
          <w:rFonts w:hint="default"/>
        </w:rPr>
        <w:t>县县通</w:t>
      </w:r>
      <w:r>
        <w:rPr>
          <w:rFonts w:hint="default"/>
        </w:rPr>
        <w:t>”</w:t>
      </w:r>
      <w:r>
        <w:rPr>
          <w:rFonts w:hint="default"/>
        </w:rPr>
        <w:t>气源使用功能，提高管道使用率。对于暂不具备接通天然气的县城，采用多种供应方式保障临时用气需求。</w:t>
      </w:r>
      <w:r>
        <w:t>在天然气价格方面加强对地方城镇燃气公司的监管，以“准许成本</w:t>
      </w:r>
      <w:r>
        <w:t>+</w:t>
      </w:r>
      <w:r>
        <w:t>合理收益”为核心，加强管道运输价格和配气价格监管，全面梳理天然气各环节价格，及时开展成</w:t>
      </w:r>
      <w:r>
        <w:lastRenderedPageBreak/>
        <w:t>本监审，合理降低偏高输配价格，有效减轻终端用户用气支出负担，坚持确保省、市的能源基础设施建设能够惠及民生。到</w:t>
      </w:r>
      <w:r>
        <w:t>2025</w:t>
      </w:r>
      <w:r>
        <w:t>年，城镇居民天然气普及率力争达到</w:t>
      </w:r>
      <w:r>
        <w:t>74.3%</w:t>
      </w:r>
      <w:r>
        <w:t>。</w:t>
      </w:r>
    </w:p>
    <w:p w:rsidR="00372A39" w:rsidRDefault="00F54C2B">
      <w:pPr>
        <w:pStyle w:val="af"/>
        <w:spacing w:before="290" w:after="290"/>
        <w:rPr>
          <w:rFonts w:hint="default"/>
        </w:rPr>
      </w:pPr>
      <w:bookmarkStart w:id="59" w:name="_Toc7525_WPSOffice_Level1"/>
      <w:r>
        <w:t>第五章</w:t>
      </w:r>
      <w:r>
        <w:t xml:space="preserve"> </w:t>
      </w:r>
      <w:r>
        <w:t>重点项目</w:t>
      </w:r>
      <w:bookmarkEnd w:id="59"/>
    </w:p>
    <w:p w:rsidR="00372A39" w:rsidRDefault="00F54C2B">
      <w:pPr>
        <w:pStyle w:val="af1"/>
        <w:rPr>
          <w:rFonts w:ascii="仿宋" w:hAnsi="仿宋" w:hint="default"/>
          <w:bCs/>
          <w:color w:val="333333"/>
        </w:rPr>
      </w:pPr>
      <w:r>
        <w:rPr>
          <w:rFonts w:ascii="仿宋" w:hAnsi="仿宋"/>
          <w:bCs/>
          <w:color w:val="333333"/>
        </w:rPr>
        <w:t>“十四五”期间全市安排续建、新开工重点能源项目21项，总投资约396.96亿元。其中续建8项，总投资约171.96亿元；新开工13项，总投资约225亿元。（具体项目详见附表）</w:t>
      </w:r>
    </w:p>
    <w:p w:rsidR="00372A39" w:rsidRDefault="00F54C2B">
      <w:pPr>
        <w:pStyle w:val="af"/>
        <w:spacing w:before="290" w:after="290"/>
        <w:rPr>
          <w:rFonts w:hint="default"/>
        </w:rPr>
      </w:pPr>
      <w:bookmarkStart w:id="60" w:name="_Toc5516_WPSOffice_Level1"/>
      <w:r>
        <w:t>第六章</w:t>
      </w:r>
      <w:r>
        <w:t xml:space="preserve"> </w:t>
      </w:r>
      <w:r>
        <w:t>环境影响</w:t>
      </w:r>
      <w:bookmarkEnd w:id="60"/>
    </w:p>
    <w:p w:rsidR="00372A39" w:rsidRDefault="00F54C2B">
      <w:pPr>
        <w:pStyle w:val="af0"/>
        <w:spacing w:before="290" w:after="290"/>
        <w:rPr>
          <w:rFonts w:hint="default"/>
        </w:rPr>
      </w:pPr>
      <w:bookmarkStart w:id="61" w:name="_Toc28253_WPSOffice_Level2"/>
      <w:r>
        <w:t>第一节</w:t>
      </w:r>
      <w:r>
        <w:t xml:space="preserve"> </w:t>
      </w:r>
      <w:r>
        <w:t>环境影响分析</w:t>
      </w:r>
      <w:bookmarkEnd w:id="61"/>
    </w:p>
    <w:p w:rsidR="00372A39" w:rsidRDefault="00F54C2B">
      <w:pPr>
        <w:pStyle w:val="af1"/>
        <w:rPr>
          <w:rFonts w:hint="default"/>
        </w:rPr>
      </w:pPr>
      <w:r>
        <w:rPr>
          <w:rFonts w:hint="default"/>
        </w:rPr>
        <w:t>本规划遵循《广东省能源发展</w:t>
      </w:r>
      <w:r>
        <w:rPr>
          <w:rFonts w:hint="default"/>
        </w:rPr>
        <w:t>“</w:t>
      </w:r>
      <w:r>
        <w:rPr>
          <w:rFonts w:hint="default"/>
        </w:rPr>
        <w:t>十四五</w:t>
      </w:r>
      <w:r>
        <w:rPr>
          <w:rFonts w:hint="default"/>
        </w:rPr>
        <w:t>”</w:t>
      </w:r>
      <w:r>
        <w:rPr>
          <w:rFonts w:hint="default"/>
        </w:rPr>
        <w:t>规划》和《梅州市国民经济和社会发展第十</w:t>
      </w:r>
      <w:r>
        <w:t>四</w:t>
      </w:r>
      <w:r>
        <w:rPr>
          <w:rFonts w:hint="default"/>
        </w:rPr>
        <w:t>个五年规划和二</w:t>
      </w:r>
      <w:r>
        <w:t>〇</w:t>
      </w:r>
      <w:r>
        <w:rPr>
          <w:rFonts w:hint="default"/>
        </w:rPr>
        <w:t>三五年远景目标纲要》总体要求，以</w:t>
      </w:r>
      <w:r>
        <w:t>构建清洁低碳、安全高效、智能创新的</w:t>
      </w:r>
      <w:r>
        <w:rPr>
          <w:rFonts w:hint="default"/>
        </w:rPr>
        <w:t>现代能源体系</w:t>
      </w:r>
      <w:r>
        <w:t>为目标</w:t>
      </w:r>
      <w:r>
        <w:rPr>
          <w:rFonts w:hint="default"/>
        </w:rPr>
        <w:t>，以开源、节流、</w:t>
      </w:r>
      <w:r>
        <w:t>低碳</w:t>
      </w:r>
      <w:r>
        <w:rPr>
          <w:rFonts w:hint="default"/>
        </w:rPr>
        <w:t>为重点，制定</w:t>
      </w:r>
      <w:r>
        <w:t>“十四五”</w:t>
      </w:r>
      <w:r>
        <w:rPr>
          <w:rFonts w:hint="default"/>
        </w:rPr>
        <w:t>能源消费总量、单位生产总值能耗</w:t>
      </w:r>
      <w:r>
        <w:t>、能源综合生产能力</w:t>
      </w:r>
      <w:r>
        <w:rPr>
          <w:rFonts w:hint="default"/>
        </w:rPr>
        <w:t>等指标，</w:t>
      </w:r>
      <w:r>
        <w:t>持续</w:t>
      </w:r>
      <w:r>
        <w:rPr>
          <w:rFonts w:hint="default"/>
        </w:rPr>
        <w:t>优化全市能源</w:t>
      </w:r>
      <w:r>
        <w:t>供应结构</w:t>
      </w:r>
      <w:r>
        <w:rPr>
          <w:rFonts w:hint="default"/>
        </w:rPr>
        <w:t>和</w:t>
      </w:r>
      <w:r>
        <w:t>消费模式</w:t>
      </w:r>
      <w:r>
        <w:rPr>
          <w:rFonts w:hint="default"/>
        </w:rPr>
        <w:t>，切实减少能源发展对环境的影响，全面助力社会经济绿色发展</w:t>
      </w:r>
      <w:r>
        <w:t>。</w:t>
      </w:r>
    </w:p>
    <w:p w:rsidR="00372A39" w:rsidRDefault="00F54C2B">
      <w:pPr>
        <w:pStyle w:val="af1"/>
        <w:rPr>
          <w:rFonts w:hint="default"/>
        </w:rPr>
      </w:pPr>
      <w:r>
        <w:t>在保障我市社会经济持续健康发展的前提下，控制能源消费总量，遏制高耗能行业过快增长，</w:t>
      </w:r>
      <w:r>
        <w:t>2025</w:t>
      </w:r>
      <w:r>
        <w:t>年我市能源消费总量控制在</w:t>
      </w:r>
      <w:r>
        <w:t>952</w:t>
      </w:r>
      <w:r>
        <w:t>万吨标准煤，“</w:t>
      </w:r>
      <w:r>
        <w:rPr>
          <w:rFonts w:hint="default"/>
        </w:rPr>
        <w:t>十四五</w:t>
      </w:r>
      <w:r>
        <w:t>”期间年均增长</w:t>
      </w:r>
      <w:r>
        <w:rPr>
          <w:rFonts w:hint="default"/>
        </w:rPr>
        <w:t>4.20%</w:t>
      </w:r>
      <w:r>
        <w:t>。推动能源高效利用，按广东省能源发展</w:t>
      </w:r>
      <w:r>
        <w:rPr>
          <w:rFonts w:hint="default"/>
        </w:rPr>
        <w:t>“</w:t>
      </w:r>
      <w:r>
        <w:rPr>
          <w:rFonts w:hint="default"/>
        </w:rPr>
        <w:t>十四五</w:t>
      </w:r>
      <w:r>
        <w:rPr>
          <w:rFonts w:hint="default"/>
        </w:rPr>
        <w:t>”</w:t>
      </w:r>
      <w:r>
        <w:t>规划要求，</w:t>
      </w:r>
      <w:r>
        <w:t>2025</w:t>
      </w:r>
      <w:r>
        <w:t>年单位</w:t>
      </w:r>
      <w:r>
        <w:t>GDP</w:t>
      </w:r>
      <w:r>
        <w:t>能耗比</w:t>
      </w:r>
      <w:r>
        <w:t>2020</w:t>
      </w:r>
      <w:r>
        <w:t>年下降</w:t>
      </w:r>
      <w:r>
        <w:t>9%</w:t>
      </w:r>
      <w:r>
        <w:t>。推动能源清洁利用，与</w:t>
      </w:r>
      <w:r>
        <w:t>2020</w:t>
      </w:r>
      <w:r>
        <w:t>年相比，</w:t>
      </w:r>
      <w:r>
        <w:t>2025</w:t>
      </w:r>
      <w:r>
        <w:t>年煤炭和石</w:t>
      </w:r>
      <w:r>
        <w:lastRenderedPageBreak/>
        <w:t>油消费比重分别下降</w:t>
      </w:r>
      <w:r>
        <w:t>3</w:t>
      </w:r>
      <w:r>
        <w:t>和</w:t>
      </w:r>
      <w:r>
        <w:t>1</w:t>
      </w:r>
      <w:r>
        <w:t>个百分点，天然气和非化石能源消费比重分别提高</w:t>
      </w:r>
      <w:r>
        <w:t>0.6</w:t>
      </w:r>
      <w:r>
        <w:t>和</w:t>
      </w:r>
      <w:r>
        <w:t>3.4</w:t>
      </w:r>
      <w:r>
        <w:t>个百分点。持续优化能源供给侧结构，削减火电煤耗，整体提高水电、光伏、风电、生物质发电等清洁电源装机比例，积极向绿色低碳、安全高效的能源供给模式发展。</w:t>
      </w:r>
    </w:p>
    <w:p w:rsidR="00372A39" w:rsidRDefault="00F54C2B">
      <w:pPr>
        <w:pStyle w:val="af0"/>
        <w:spacing w:before="290" w:after="290"/>
        <w:rPr>
          <w:rFonts w:hint="default"/>
        </w:rPr>
      </w:pPr>
      <w:bookmarkStart w:id="62" w:name="_Toc20903_WPSOffice_Level2"/>
      <w:r>
        <w:t>第二节</w:t>
      </w:r>
      <w:r>
        <w:t xml:space="preserve"> </w:t>
      </w:r>
      <w:r>
        <w:t>环境保护措施</w:t>
      </w:r>
      <w:bookmarkEnd w:id="62"/>
    </w:p>
    <w:p w:rsidR="00372A39" w:rsidRDefault="00F54C2B">
      <w:pPr>
        <w:pStyle w:val="af1"/>
        <w:rPr>
          <w:rFonts w:hint="default"/>
        </w:rPr>
      </w:pPr>
      <w:r>
        <w:t>遵循</w:t>
      </w:r>
      <w:r>
        <w:rPr>
          <w:rFonts w:hint="default"/>
        </w:rPr>
        <w:t>国民经济和社会发展</w:t>
      </w:r>
      <w:r>
        <w:t>规划的要求，发挥能源规划的引导和约束作用，科学系统地谋划我市能源发展布局，有序推进能源基础设施建设，优化能源项目实施方案，不断提高能源利用效率和清洁水平，降低对生态环境的影响。</w:t>
      </w:r>
    </w:p>
    <w:p w:rsidR="00372A39" w:rsidRDefault="00F54C2B">
      <w:pPr>
        <w:pStyle w:val="af1"/>
        <w:rPr>
          <w:rFonts w:hint="default"/>
        </w:rPr>
      </w:pPr>
      <w:r>
        <w:t>坚持把绿色低碳理念融入能源产供储销全过程，积极采取经济、法律、行政和技术措施，降低能源发展过程中的污染物排放，为加强生态保护和环境治理，实现生态环境质量根本性好转作出贡献。积极探索生态产品价值实现途径，建立健全生态补偿机制。</w:t>
      </w:r>
    </w:p>
    <w:p w:rsidR="00372A39" w:rsidRDefault="00F54C2B">
      <w:pPr>
        <w:pStyle w:val="af1"/>
        <w:rPr>
          <w:rFonts w:hint="default"/>
        </w:rPr>
      </w:pPr>
      <w:r>
        <w:t>认真执行环境影响评价制度，加强能源项目的环境监督管理，未通过环境影响评价、未通过节能评估审查的项目，一律不予核准、不予备案、不予审批，不得开工建设。严格落实建设项目环评水保方案和“三同时”制度，确保投运项目环保设施全负荷、全时段稳定运行，加强事故防范。</w:t>
      </w:r>
    </w:p>
    <w:p w:rsidR="00372A39" w:rsidRDefault="00F54C2B">
      <w:pPr>
        <w:pStyle w:val="af1"/>
        <w:rPr>
          <w:rFonts w:hint="default"/>
        </w:rPr>
      </w:pPr>
      <w:r>
        <w:rPr>
          <w:rFonts w:hint="default"/>
        </w:rPr>
        <w:t>依照节能法规，综合采取财税、价格、标准等措施，积极利用新技术、新理念，推动重点领域、行业、企业节能。加强重点用能单位能源计量器具的配备和管理，建立健全能源计量管理制度。对全市重点耗能企业能源计量情况进行全面监督监察，督促指导帮助企业建立能源计量器具、能源计量数据管理制度。引导企业申办测量管理体系</w:t>
      </w:r>
      <w:r>
        <w:rPr>
          <w:rFonts w:hint="default"/>
        </w:rPr>
        <w:lastRenderedPageBreak/>
        <w:t>认证或计量保证体系确认，积极接入市级能管平台。开展</w:t>
      </w:r>
      <w:r>
        <w:rPr>
          <w:rFonts w:hint="default"/>
        </w:rPr>
        <w:t>“</w:t>
      </w:r>
      <w:r>
        <w:rPr>
          <w:rFonts w:hint="default"/>
        </w:rPr>
        <w:t>能耗对标、计量诊断</w:t>
      </w:r>
      <w:r>
        <w:rPr>
          <w:rFonts w:hint="default"/>
        </w:rPr>
        <w:t>”</w:t>
      </w:r>
      <w:r>
        <w:rPr>
          <w:rFonts w:hint="default"/>
        </w:rPr>
        <w:t>活动，缩小与先进用能企业的差距</w:t>
      </w:r>
      <w:r>
        <w:t>。</w:t>
      </w:r>
    </w:p>
    <w:p w:rsidR="00372A39" w:rsidRDefault="00F54C2B">
      <w:pPr>
        <w:pStyle w:val="af0"/>
        <w:spacing w:before="290" w:after="290"/>
        <w:rPr>
          <w:rFonts w:hint="default"/>
        </w:rPr>
      </w:pPr>
      <w:bookmarkStart w:id="63" w:name="_Toc27364_WPSOffice_Level2"/>
      <w:r>
        <w:t>第三节</w:t>
      </w:r>
      <w:r>
        <w:t xml:space="preserve">  </w:t>
      </w:r>
      <w:r>
        <w:t>环境保护目标成效</w:t>
      </w:r>
      <w:bookmarkEnd w:id="63"/>
    </w:p>
    <w:p w:rsidR="00372A39" w:rsidRDefault="00F54C2B">
      <w:pPr>
        <w:pStyle w:val="af1"/>
        <w:rPr>
          <w:rFonts w:hint="default"/>
        </w:rPr>
      </w:pPr>
      <w:r>
        <w:t>“十四五”期间，我市</w:t>
      </w:r>
      <w:r>
        <w:rPr>
          <w:rFonts w:hint="default"/>
        </w:rPr>
        <w:t>通过天然气推广利用、可再生能源开发利用、</w:t>
      </w:r>
      <w:r>
        <w:t>煤炭减量替代</w:t>
      </w:r>
      <w:r>
        <w:rPr>
          <w:rFonts w:hint="default"/>
        </w:rPr>
        <w:t>等，合理配置资源，促进能源行业</w:t>
      </w:r>
      <w:r>
        <w:t>绿色、低碳、高效发展。</w:t>
      </w:r>
      <w:r>
        <w:rPr>
          <w:rFonts w:hint="default"/>
        </w:rPr>
        <w:t>所有改造、续建和新建项目均同步配套国家、省、市规定的污染物处理配套设施设备，从而保障全市能源安全、优化全市能源</w:t>
      </w:r>
      <w:r>
        <w:t>供给与</w:t>
      </w:r>
      <w:r>
        <w:rPr>
          <w:rFonts w:hint="default"/>
        </w:rPr>
        <w:t>消费结构、降低污染物排放和碳排放，促进经济社会发展、能源供应安全、环境保护等多方面协调发展。</w:t>
      </w:r>
    </w:p>
    <w:p w:rsidR="00372A39" w:rsidRDefault="00F54C2B">
      <w:pPr>
        <w:pStyle w:val="af"/>
        <w:spacing w:before="290" w:after="290"/>
        <w:rPr>
          <w:rFonts w:hint="default"/>
        </w:rPr>
      </w:pPr>
      <w:bookmarkStart w:id="64" w:name="_Toc31959_WPSOffice_Level1"/>
      <w:r>
        <w:t>第七章</w:t>
      </w:r>
      <w:r>
        <w:t xml:space="preserve"> </w:t>
      </w:r>
      <w:r>
        <w:t>保障措施建议</w:t>
      </w:r>
      <w:bookmarkEnd w:id="64"/>
    </w:p>
    <w:p w:rsidR="00372A39" w:rsidRDefault="00F54C2B">
      <w:pPr>
        <w:pStyle w:val="af0"/>
        <w:spacing w:before="290" w:after="290"/>
        <w:rPr>
          <w:rFonts w:hint="default"/>
        </w:rPr>
      </w:pPr>
      <w:bookmarkStart w:id="65" w:name="_Toc9167_WPSOffice_Level2"/>
      <w:r>
        <w:t>第一节强化规划实施机制</w:t>
      </w:r>
      <w:bookmarkEnd w:id="65"/>
    </w:p>
    <w:p w:rsidR="00372A39" w:rsidRDefault="00F54C2B">
      <w:pPr>
        <w:pStyle w:val="af1"/>
        <w:rPr>
          <w:rFonts w:hint="default"/>
        </w:rPr>
      </w:pPr>
      <w:r>
        <w:rPr>
          <w:rFonts w:hint="default"/>
        </w:rPr>
        <w:t>做好本规划与广东省能源发展</w:t>
      </w:r>
      <w:r>
        <w:t>“</w:t>
      </w:r>
      <w:r>
        <w:rPr>
          <w:rFonts w:hint="default"/>
        </w:rPr>
        <w:t>十四五</w:t>
      </w:r>
      <w:r>
        <w:t>”</w:t>
      </w:r>
      <w:r>
        <w:rPr>
          <w:rFonts w:hint="default"/>
        </w:rPr>
        <w:t>规划、梅州市国民经济和社会发展</w:t>
      </w:r>
      <w:r>
        <w:t>“</w:t>
      </w:r>
      <w:r>
        <w:rPr>
          <w:rFonts w:hint="default"/>
        </w:rPr>
        <w:t>十四五</w:t>
      </w:r>
      <w:r>
        <w:t>”</w:t>
      </w:r>
      <w:r>
        <w:rPr>
          <w:rFonts w:hint="default"/>
        </w:rPr>
        <w:t>规划纲要、节能规划、</w:t>
      </w:r>
      <w:bookmarkStart w:id="66" w:name="_GoBack"/>
      <w:bookmarkEnd w:id="66"/>
      <w:r>
        <w:rPr>
          <w:rFonts w:hint="default"/>
        </w:rPr>
        <w:t>国土资源规划、城乡建设规划等其他相关规划的有效衔接和统筹协调。组织实施规划评估机制，按程序对规划进行中期调整，调整规划发展方向和重点，提高规划的全局性、前瞻性和可操作性。增强能源规划的引导约束作用，严格按照规划确定的发展思路和主要目标任务，优化资源开发利用布局，统筹安排项目建设。充分考虑环保要求，依法开展规划环境影响评价。增强规划透明度和公众参与度。完善规划实施的检查、监管、评估、考核机制，做好规划实施的协调管理和评估工作。</w:t>
      </w:r>
    </w:p>
    <w:p w:rsidR="00372A39" w:rsidRDefault="00F54C2B">
      <w:pPr>
        <w:pStyle w:val="af0"/>
        <w:spacing w:before="290" w:after="290"/>
        <w:rPr>
          <w:rFonts w:hint="default"/>
        </w:rPr>
      </w:pPr>
      <w:bookmarkStart w:id="67" w:name="_Toc16734_WPSOffice_Level2"/>
      <w:r>
        <w:t>第二节</w:t>
      </w:r>
      <w:r>
        <w:t xml:space="preserve"> </w:t>
      </w:r>
      <w:r>
        <w:t>加大政策支持力度</w:t>
      </w:r>
      <w:bookmarkEnd w:id="67"/>
    </w:p>
    <w:p w:rsidR="00372A39" w:rsidRDefault="00F54C2B">
      <w:pPr>
        <w:pStyle w:val="af1"/>
        <w:rPr>
          <w:rFonts w:hint="default"/>
        </w:rPr>
      </w:pPr>
      <w:r>
        <w:rPr>
          <w:rFonts w:hint="default"/>
        </w:rPr>
        <w:lastRenderedPageBreak/>
        <w:t>全面落实国家、省各项优惠政策，加大对能源发展的财政、税收、土地等方面政策支持力度。健全能源财政支持政策，积极争取中央资金、省级资金支持，加强市级财政资金对节能、新能源和可再生能源、能源安全、能源科技创新、能源装备科研成果转化及新技术应用的引导，加大对能源公共服务、农村能源的支持力度。积极落实能源税收调节政策，发挥税收促进节能和可再生能源发展的激励作用，引导能源生产和消费行为。积极拓宽能源建设融资渠道，完善股权投资和创业投资机制，统筹采用基金、</w:t>
      </w:r>
      <w:r>
        <w:rPr>
          <w:rFonts w:hint="default"/>
        </w:rPr>
        <w:t>PPP</w:t>
      </w:r>
      <w:r>
        <w:rPr>
          <w:rFonts w:hint="default"/>
        </w:rPr>
        <w:t>等多种模式，引导民间资本加大投入力度。优先保障能源重大项目用地需要，鼓励各区（县）根据自身情况制定差异化的支持政策。</w:t>
      </w:r>
    </w:p>
    <w:p w:rsidR="00372A39" w:rsidRDefault="00F54C2B">
      <w:pPr>
        <w:pStyle w:val="af1"/>
        <w:rPr>
          <w:rFonts w:hint="default"/>
        </w:rPr>
      </w:pPr>
      <w:r>
        <w:rPr>
          <w:rFonts w:hint="default"/>
        </w:rPr>
        <w:t>除了通过自身制度建设保障梅州市</w:t>
      </w:r>
      <w:r>
        <w:t>“</w:t>
      </w:r>
      <w:r>
        <w:rPr>
          <w:rFonts w:hint="default"/>
        </w:rPr>
        <w:t>十四五</w:t>
      </w:r>
      <w:r>
        <w:t>”</w:t>
      </w:r>
      <w:r>
        <w:rPr>
          <w:rFonts w:hint="default"/>
        </w:rPr>
        <w:t>能源发展规划的落地，还应依托梅州市</w:t>
      </w:r>
      <w:r>
        <w:t>“</w:t>
      </w:r>
      <w:r>
        <w:rPr>
          <w:rFonts w:hint="default"/>
        </w:rPr>
        <w:t>苏区</w:t>
      </w:r>
      <w:r>
        <w:t>”</w:t>
      </w:r>
      <w:r>
        <w:rPr>
          <w:rFonts w:hint="default"/>
        </w:rPr>
        <w:t>的独特优势，向广东省争取政策支持，如森林碳汇等，将绿色生态转化为储能、减排的资源以适当扩大梅州市能源发展乃至于经济社会发展的基本盘。</w:t>
      </w:r>
    </w:p>
    <w:p w:rsidR="00372A39" w:rsidRDefault="00F54C2B">
      <w:pPr>
        <w:pStyle w:val="af0"/>
        <w:spacing w:before="290" w:after="290"/>
        <w:rPr>
          <w:rFonts w:hint="default"/>
        </w:rPr>
      </w:pPr>
      <w:bookmarkStart w:id="68" w:name="_Toc19759_WPSOffice_Level2"/>
      <w:r>
        <w:t>第三节强化能源建设监管</w:t>
      </w:r>
      <w:bookmarkEnd w:id="68"/>
    </w:p>
    <w:p w:rsidR="00372A39" w:rsidRDefault="00F54C2B">
      <w:pPr>
        <w:pStyle w:val="af1"/>
        <w:rPr>
          <w:rFonts w:hint="default"/>
        </w:rPr>
      </w:pPr>
      <w:r>
        <w:rPr>
          <w:rFonts w:hint="default"/>
        </w:rPr>
        <w:t>优化能源监管体系，进一步健全完善能源监管工作机制，切实保障能源行业相关法律、法规、规章、政策及规划的有效实施。合理界定部门监管权责范围，落实部门责任，强化分工合作，创新监管措施和手段，有效开展能源开发建设、市场及消费等各环节的监管工作，确保市场运行有序、交易公平透明。健全能源领域应急管理机制。强化能源行业涉及公众利益的投资行为、成本及投资效率监管。深入推进政企分开，逐步剥离由企业行使的公共管理职能，由政府部门或委托第三方机构承担。建立能源市场主体信用评价制度，完善守信激励</w:t>
      </w:r>
      <w:r>
        <w:rPr>
          <w:rFonts w:hint="default"/>
        </w:rPr>
        <w:lastRenderedPageBreak/>
        <w:t>和失信惩戒机制。</w:t>
      </w:r>
    </w:p>
    <w:p w:rsidR="00372A39" w:rsidRDefault="00F54C2B">
      <w:pPr>
        <w:pStyle w:val="af0"/>
        <w:spacing w:before="290" w:after="290"/>
        <w:rPr>
          <w:rFonts w:hint="default"/>
        </w:rPr>
      </w:pPr>
      <w:bookmarkStart w:id="69" w:name="_Toc1008_WPSOffice_Level2"/>
      <w:r>
        <w:t>第四节</w:t>
      </w:r>
      <w:r>
        <w:t xml:space="preserve">  </w:t>
      </w:r>
      <w:r>
        <w:t>完善能源统计和预测预警制度</w:t>
      </w:r>
      <w:bookmarkEnd w:id="69"/>
    </w:p>
    <w:p w:rsidR="00372A39" w:rsidRDefault="00F54C2B">
      <w:pPr>
        <w:pStyle w:val="af1"/>
        <w:rPr>
          <w:rFonts w:hint="default"/>
        </w:rPr>
      </w:pPr>
      <w:r>
        <w:rPr>
          <w:rFonts w:hint="default"/>
        </w:rPr>
        <w:t>加强能源行业统计能力建设，建立健全涵盖全社会的能源生产、流通、消费、库存、区域间流入流出和利用效率、环境影响等统计指标体系；研究完善能源行业统计规范，建立适应国民经济各行业用能特点的统计调查体系。推进全省能源管理信息系统建设，完善能源统计监测预警机制，规范能源信息发布制度，有效分析预警能源供应能力、资源可控性和能源需求变化，增强能源行业抗风险能力，为能源科学发展提供决策支撑。</w:t>
      </w:r>
    </w:p>
    <w:p w:rsidR="00372A39" w:rsidRDefault="00F54C2B">
      <w:pPr>
        <w:pStyle w:val="af0"/>
        <w:spacing w:before="290" w:after="290"/>
        <w:rPr>
          <w:rFonts w:hint="default"/>
        </w:rPr>
      </w:pPr>
      <w:bookmarkStart w:id="70" w:name="_Toc31230_WPSOffice_Level2"/>
      <w:r>
        <w:t>第五节</w:t>
      </w:r>
      <w:r>
        <w:t xml:space="preserve">  </w:t>
      </w:r>
      <w:r>
        <w:t>强化政策宣传解读</w:t>
      </w:r>
      <w:bookmarkEnd w:id="70"/>
    </w:p>
    <w:p w:rsidR="00372A39" w:rsidRDefault="00F54C2B">
      <w:pPr>
        <w:pStyle w:val="af1"/>
        <w:rPr>
          <w:rFonts w:hint="default"/>
        </w:rPr>
      </w:pPr>
      <w:r>
        <w:rPr>
          <w:rFonts w:hint="default"/>
        </w:rPr>
        <w:t>通过发布政策解读文件、召开座谈会宣贯、专人引导等形式，同时灵活运用新媒体等手段，增加政策指引和解读，防止企业对政策不理解、不清晰而走偏或产生抵触情绪。</w:t>
      </w:r>
      <w:r>
        <w:t>加强新闻宣传和教育普及，在全社会推广低碳节能理念，使群众了解我国承诺碳达峰、碳中和目标的深远影响及历史意义。加强能源信息公开，完善公众参与制度，</w:t>
      </w:r>
    </w:p>
    <w:p w:rsidR="00372A39" w:rsidRDefault="00372A39">
      <w:pPr>
        <w:autoSpaceDE w:val="0"/>
        <w:autoSpaceDN w:val="0"/>
        <w:spacing w:line="588" w:lineRule="exact"/>
        <w:ind w:firstLineChars="200" w:firstLine="600"/>
        <w:rPr>
          <w:rFonts w:eastAsia="方正仿宋_GBK" w:cs="Times New Roman"/>
          <w:b/>
          <w:sz w:val="30"/>
          <w:szCs w:val="30"/>
        </w:rPr>
      </w:pPr>
    </w:p>
    <w:p w:rsidR="00372A39" w:rsidRDefault="00372A39">
      <w:pPr>
        <w:autoSpaceDE w:val="0"/>
        <w:autoSpaceDN w:val="0"/>
        <w:spacing w:line="588" w:lineRule="exact"/>
        <w:ind w:firstLineChars="200" w:firstLine="600"/>
        <w:rPr>
          <w:rFonts w:eastAsia="方正仿宋_GBK" w:cs="Times New Roman"/>
          <w:b/>
          <w:sz w:val="30"/>
          <w:szCs w:val="30"/>
        </w:rPr>
      </w:pPr>
    </w:p>
    <w:p w:rsidR="00372A39" w:rsidRDefault="00372A39">
      <w:pPr>
        <w:rPr>
          <w:rFonts w:eastAsia="文星仿宋"/>
          <w:sz w:val="32"/>
          <w:szCs w:val="32"/>
          <w:highlight w:val="yellow"/>
        </w:rPr>
        <w:sectPr w:rsidR="00372A39">
          <w:footerReference w:type="default" r:id="rId12"/>
          <w:pgSz w:w="11906" w:h="16838"/>
          <w:pgMar w:top="1440" w:right="1800" w:bottom="1440" w:left="1800" w:header="851" w:footer="992" w:gutter="0"/>
          <w:pgNumType w:fmt="numberInDash" w:start="1"/>
          <w:cols w:space="0"/>
          <w:docGrid w:type="lines" w:linePitch="581"/>
        </w:sectPr>
      </w:pPr>
    </w:p>
    <w:p w:rsidR="00372A39" w:rsidRDefault="00F54C2B">
      <w:bookmarkStart w:id="71" w:name="_Toc9064_WPSOffice_Level1"/>
      <w:r>
        <w:rPr>
          <w:rFonts w:eastAsia="文星仿宋"/>
          <w:sz w:val="32"/>
          <w:szCs w:val="32"/>
        </w:rPr>
        <w:lastRenderedPageBreak/>
        <w:t>附表</w:t>
      </w:r>
      <w:r>
        <w:t>：</w:t>
      </w:r>
      <w:bookmarkEnd w:id="71"/>
    </w:p>
    <w:p w:rsidR="00372A39" w:rsidRDefault="00F54C2B">
      <w:pPr>
        <w:adjustRightInd w:val="0"/>
        <w:snapToGrid w:val="0"/>
        <w:jc w:val="center"/>
        <w:rPr>
          <w:rFonts w:ascii="黑体" w:eastAsia="黑体" w:hAnsi="黑体" w:cs="黑体"/>
          <w:bCs/>
        </w:rPr>
      </w:pPr>
      <w:bookmarkStart w:id="72" w:name="_Toc30541_WPSOffice_Level1"/>
      <w:r>
        <w:rPr>
          <w:rFonts w:ascii="黑体" w:eastAsia="黑体" w:hAnsi="黑体" w:cs="黑体" w:hint="eastAsia"/>
          <w:bCs/>
        </w:rPr>
        <w:t>“十四五”时期全市能源发展重点项目表</w:t>
      </w:r>
      <w:bookmarkEnd w:id="72"/>
    </w:p>
    <w:tbl>
      <w:tblPr>
        <w:tblW w:w="13988" w:type="dxa"/>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1137"/>
        <w:gridCol w:w="3805"/>
        <w:gridCol w:w="2257"/>
        <w:gridCol w:w="2558"/>
        <w:gridCol w:w="1815"/>
        <w:gridCol w:w="2416"/>
      </w:tblGrid>
      <w:tr w:rsidR="00372A39">
        <w:tc>
          <w:tcPr>
            <w:tcW w:w="1137"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黑体" w:eastAsia="黑体" w:hAnsi="黑体" w:cs="黑体"/>
                <w:color w:val="000000"/>
                <w:sz w:val="21"/>
                <w:szCs w:val="21"/>
              </w:rPr>
            </w:pPr>
            <w:r>
              <w:rPr>
                <w:rFonts w:ascii="黑体" w:eastAsia="黑体" w:hAnsi="黑体" w:cs="黑体" w:hint="eastAsia"/>
                <w:color w:val="000000"/>
                <w:sz w:val="21"/>
                <w:szCs w:val="21"/>
              </w:rPr>
              <w:t>序号</w:t>
            </w:r>
          </w:p>
        </w:tc>
        <w:tc>
          <w:tcPr>
            <w:tcW w:w="3805"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黑体" w:eastAsia="黑体" w:hAnsi="黑体" w:cs="黑体"/>
                <w:color w:val="000000"/>
                <w:sz w:val="21"/>
                <w:szCs w:val="21"/>
              </w:rPr>
            </w:pPr>
            <w:r>
              <w:rPr>
                <w:rFonts w:ascii="黑体" w:eastAsia="黑体" w:hAnsi="黑体" w:cs="黑体" w:hint="eastAsia"/>
                <w:color w:val="000000"/>
                <w:sz w:val="21"/>
                <w:szCs w:val="21"/>
              </w:rPr>
              <w:t>项目名称</w:t>
            </w:r>
          </w:p>
        </w:tc>
        <w:tc>
          <w:tcPr>
            <w:tcW w:w="2257"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黑体" w:eastAsia="黑体" w:hAnsi="黑体" w:cs="黑体"/>
                <w:color w:val="000000"/>
                <w:sz w:val="21"/>
                <w:szCs w:val="21"/>
              </w:rPr>
            </w:pPr>
            <w:r>
              <w:rPr>
                <w:rFonts w:ascii="黑体" w:eastAsia="黑体" w:hAnsi="黑体" w:cs="黑体" w:hint="eastAsia"/>
                <w:color w:val="000000"/>
                <w:sz w:val="21"/>
                <w:szCs w:val="21"/>
              </w:rPr>
              <w:t>建设内容及规模</w:t>
            </w:r>
          </w:p>
        </w:tc>
        <w:tc>
          <w:tcPr>
            <w:tcW w:w="2558"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黑体" w:eastAsia="黑体" w:hAnsi="黑体" w:cs="黑体"/>
                <w:color w:val="000000"/>
                <w:sz w:val="21"/>
                <w:szCs w:val="21"/>
              </w:rPr>
            </w:pPr>
            <w:r>
              <w:rPr>
                <w:rFonts w:ascii="黑体" w:eastAsia="黑体" w:hAnsi="黑体" w:cs="黑体" w:hint="eastAsia"/>
                <w:color w:val="000000"/>
                <w:sz w:val="21"/>
                <w:szCs w:val="21"/>
              </w:rPr>
              <w:t>建设单位</w:t>
            </w:r>
          </w:p>
        </w:tc>
        <w:tc>
          <w:tcPr>
            <w:tcW w:w="1815"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黑体" w:eastAsia="黑体" w:hAnsi="黑体" w:cs="黑体"/>
                <w:color w:val="000000"/>
                <w:sz w:val="21"/>
                <w:szCs w:val="21"/>
              </w:rPr>
            </w:pPr>
            <w:r>
              <w:rPr>
                <w:rFonts w:ascii="黑体" w:eastAsia="黑体" w:hAnsi="黑体" w:cs="黑体" w:hint="eastAsia"/>
                <w:color w:val="000000"/>
                <w:sz w:val="21"/>
                <w:szCs w:val="21"/>
              </w:rPr>
              <w:t>建设起止年限</w:t>
            </w:r>
          </w:p>
        </w:tc>
        <w:tc>
          <w:tcPr>
            <w:tcW w:w="2416"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黑体" w:eastAsia="黑体" w:hAnsi="黑体" w:cs="黑体"/>
                <w:color w:val="000000"/>
                <w:sz w:val="21"/>
                <w:szCs w:val="21"/>
              </w:rPr>
            </w:pPr>
            <w:r>
              <w:rPr>
                <w:rFonts w:ascii="黑体" w:eastAsia="黑体" w:hAnsi="黑体" w:cs="黑体" w:hint="eastAsia"/>
                <w:color w:val="000000"/>
                <w:sz w:val="21"/>
                <w:szCs w:val="21"/>
              </w:rPr>
              <w:t>总投资（亿元）</w:t>
            </w:r>
          </w:p>
        </w:tc>
      </w:tr>
      <w:tr w:rsidR="00372A39">
        <w:tc>
          <w:tcPr>
            <w:tcW w:w="1137"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一</w:t>
            </w:r>
          </w:p>
        </w:tc>
        <w:tc>
          <w:tcPr>
            <w:tcW w:w="3805"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续建项目</w:t>
            </w:r>
          </w:p>
        </w:tc>
        <w:tc>
          <w:tcPr>
            <w:tcW w:w="2257" w:type="dxa"/>
            <w:tcBorders>
              <w:tl2br w:val="nil"/>
              <w:tr2bl w:val="nil"/>
            </w:tcBorders>
            <w:shd w:val="clear" w:color="auto" w:fill="auto"/>
            <w:tcMar>
              <w:top w:w="15" w:type="dxa"/>
              <w:left w:w="15" w:type="dxa"/>
              <w:right w:w="15" w:type="dxa"/>
            </w:tcMar>
            <w:vAlign w:val="center"/>
          </w:tcPr>
          <w:p w:rsidR="00372A39" w:rsidRDefault="00372A39">
            <w:pPr>
              <w:adjustRightInd w:val="0"/>
              <w:snapToGrid w:val="0"/>
              <w:jc w:val="center"/>
              <w:rPr>
                <w:rFonts w:ascii="仿宋_GB2312" w:eastAsia="仿宋_GB2312" w:hAnsi="仿宋_GB2312" w:cs="仿宋_GB2312"/>
                <w:color w:val="000000"/>
                <w:sz w:val="21"/>
                <w:szCs w:val="21"/>
              </w:rPr>
            </w:pPr>
          </w:p>
        </w:tc>
        <w:tc>
          <w:tcPr>
            <w:tcW w:w="2558" w:type="dxa"/>
            <w:tcBorders>
              <w:tl2br w:val="nil"/>
              <w:tr2bl w:val="nil"/>
            </w:tcBorders>
            <w:shd w:val="clear" w:color="auto" w:fill="auto"/>
            <w:tcMar>
              <w:top w:w="15" w:type="dxa"/>
              <w:left w:w="15" w:type="dxa"/>
              <w:right w:w="15" w:type="dxa"/>
            </w:tcMar>
            <w:vAlign w:val="center"/>
          </w:tcPr>
          <w:p w:rsidR="00372A39" w:rsidRDefault="00372A39">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372A39" w:rsidRDefault="00372A39">
            <w:pPr>
              <w:adjustRightInd w:val="0"/>
              <w:snapToGrid w:val="0"/>
              <w:jc w:val="center"/>
              <w:rPr>
                <w:rFonts w:ascii="仿宋_GB2312" w:eastAsia="仿宋_GB2312" w:hAnsi="仿宋_GB2312" w:cs="仿宋_GB2312"/>
                <w:color w:val="000000"/>
                <w:sz w:val="21"/>
                <w:szCs w:val="21"/>
              </w:rPr>
            </w:pPr>
          </w:p>
        </w:tc>
        <w:tc>
          <w:tcPr>
            <w:tcW w:w="2416"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171.96</w:t>
            </w:r>
          </w:p>
        </w:tc>
      </w:tr>
      <w:tr w:rsidR="00372A39">
        <w:tc>
          <w:tcPr>
            <w:tcW w:w="1137"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（一）</w:t>
            </w:r>
          </w:p>
        </w:tc>
        <w:tc>
          <w:tcPr>
            <w:tcW w:w="3805"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电源项目</w:t>
            </w:r>
          </w:p>
        </w:tc>
        <w:tc>
          <w:tcPr>
            <w:tcW w:w="2257" w:type="dxa"/>
            <w:tcBorders>
              <w:tl2br w:val="nil"/>
              <w:tr2bl w:val="nil"/>
            </w:tcBorders>
            <w:shd w:val="clear" w:color="auto" w:fill="auto"/>
            <w:tcMar>
              <w:top w:w="15" w:type="dxa"/>
              <w:left w:w="15" w:type="dxa"/>
              <w:right w:w="15" w:type="dxa"/>
            </w:tcMar>
            <w:vAlign w:val="center"/>
          </w:tcPr>
          <w:p w:rsidR="00372A39" w:rsidRDefault="00372A39">
            <w:pPr>
              <w:adjustRightInd w:val="0"/>
              <w:snapToGrid w:val="0"/>
              <w:jc w:val="center"/>
              <w:rPr>
                <w:rFonts w:ascii="仿宋_GB2312" w:eastAsia="仿宋_GB2312" w:hAnsi="仿宋_GB2312" w:cs="仿宋_GB2312"/>
                <w:color w:val="000000"/>
                <w:sz w:val="21"/>
                <w:szCs w:val="21"/>
              </w:rPr>
            </w:pPr>
          </w:p>
        </w:tc>
        <w:tc>
          <w:tcPr>
            <w:tcW w:w="2558" w:type="dxa"/>
            <w:tcBorders>
              <w:tl2br w:val="nil"/>
              <w:tr2bl w:val="nil"/>
            </w:tcBorders>
            <w:shd w:val="clear" w:color="auto" w:fill="auto"/>
            <w:tcMar>
              <w:top w:w="15" w:type="dxa"/>
              <w:left w:w="15" w:type="dxa"/>
              <w:right w:w="15" w:type="dxa"/>
            </w:tcMar>
            <w:vAlign w:val="center"/>
          </w:tcPr>
          <w:p w:rsidR="00372A39" w:rsidRDefault="00372A39">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372A39" w:rsidRDefault="00372A39">
            <w:pPr>
              <w:adjustRightInd w:val="0"/>
              <w:snapToGrid w:val="0"/>
              <w:jc w:val="center"/>
              <w:rPr>
                <w:rFonts w:ascii="仿宋_GB2312" w:eastAsia="仿宋_GB2312" w:hAnsi="仿宋_GB2312" w:cs="仿宋_GB2312"/>
                <w:color w:val="000000"/>
                <w:sz w:val="21"/>
                <w:szCs w:val="21"/>
              </w:rPr>
            </w:pPr>
          </w:p>
        </w:tc>
        <w:tc>
          <w:tcPr>
            <w:tcW w:w="2416"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132.06</w:t>
            </w:r>
          </w:p>
        </w:tc>
      </w:tr>
      <w:tr w:rsidR="00372A39">
        <w:tc>
          <w:tcPr>
            <w:tcW w:w="1137"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w:t>
            </w:r>
          </w:p>
        </w:tc>
        <w:tc>
          <w:tcPr>
            <w:tcW w:w="3805"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韩江高陂水利枢纽电站</w:t>
            </w:r>
          </w:p>
        </w:tc>
        <w:tc>
          <w:tcPr>
            <w:tcW w:w="2257"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装机容量10万千瓦</w:t>
            </w:r>
          </w:p>
        </w:tc>
        <w:tc>
          <w:tcPr>
            <w:tcW w:w="2558"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梅州市大埔韩江高陂水利枢纽工程建设管理处</w:t>
            </w:r>
          </w:p>
        </w:tc>
        <w:tc>
          <w:tcPr>
            <w:tcW w:w="1815"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2015-2021</w:t>
            </w:r>
          </w:p>
        </w:tc>
        <w:tc>
          <w:tcPr>
            <w:tcW w:w="2416"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61.54</w:t>
            </w:r>
          </w:p>
        </w:tc>
      </w:tr>
      <w:tr w:rsidR="00372A39">
        <w:tc>
          <w:tcPr>
            <w:tcW w:w="1137"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w:t>
            </w:r>
          </w:p>
        </w:tc>
        <w:tc>
          <w:tcPr>
            <w:tcW w:w="3805"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梅州（五华）抽水蓄能电站一期</w:t>
            </w:r>
          </w:p>
        </w:tc>
        <w:tc>
          <w:tcPr>
            <w:tcW w:w="2257"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装机容量120万千瓦</w:t>
            </w:r>
          </w:p>
        </w:tc>
        <w:tc>
          <w:tcPr>
            <w:tcW w:w="2558"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南方电网调峰调频发电有限公司</w:t>
            </w:r>
          </w:p>
        </w:tc>
        <w:tc>
          <w:tcPr>
            <w:tcW w:w="1815"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2015-2022</w:t>
            </w:r>
          </w:p>
        </w:tc>
        <w:tc>
          <w:tcPr>
            <w:tcW w:w="2416"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70.52</w:t>
            </w:r>
          </w:p>
        </w:tc>
      </w:tr>
      <w:tr w:rsidR="00372A39">
        <w:tc>
          <w:tcPr>
            <w:tcW w:w="1137"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（二）</w:t>
            </w:r>
          </w:p>
        </w:tc>
        <w:tc>
          <w:tcPr>
            <w:tcW w:w="3805"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电网项目</w:t>
            </w:r>
          </w:p>
        </w:tc>
        <w:tc>
          <w:tcPr>
            <w:tcW w:w="2257" w:type="dxa"/>
            <w:tcBorders>
              <w:tl2br w:val="nil"/>
              <w:tr2bl w:val="nil"/>
            </w:tcBorders>
            <w:shd w:val="clear" w:color="auto" w:fill="auto"/>
            <w:tcMar>
              <w:top w:w="15" w:type="dxa"/>
              <w:left w:w="15" w:type="dxa"/>
              <w:right w:w="15" w:type="dxa"/>
            </w:tcMar>
            <w:vAlign w:val="center"/>
          </w:tcPr>
          <w:p w:rsidR="00372A39" w:rsidRDefault="00372A39">
            <w:pPr>
              <w:adjustRightInd w:val="0"/>
              <w:snapToGrid w:val="0"/>
              <w:jc w:val="center"/>
              <w:rPr>
                <w:rFonts w:ascii="仿宋_GB2312" w:eastAsia="仿宋_GB2312" w:hAnsi="仿宋_GB2312" w:cs="仿宋_GB2312"/>
                <w:color w:val="000000"/>
                <w:sz w:val="21"/>
                <w:szCs w:val="21"/>
              </w:rPr>
            </w:pPr>
          </w:p>
        </w:tc>
        <w:tc>
          <w:tcPr>
            <w:tcW w:w="2558" w:type="dxa"/>
            <w:tcBorders>
              <w:tl2br w:val="nil"/>
              <w:tr2bl w:val="nil"/>
            </w:tcBorders>
            <w:shd w:val="clear" w:color="auto" w:fill="auto"/>
            <w:tcMar>
              <w:top w:w="15" w:type="dxa"/>
              <w:left w:w="15" w:type="dxa"/>
              <w:right w:w="15" w:type="dxa"/>
            </w:tcMar>
            <w:vAlign w:val="center"/>
          </w:tcPr>
          <w:p w:rsidR="00372A39" w:rsidRDefault="00372A39">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372A39" w:rsidRDefault="00372A39">
            <w:pPr>
              <w:adjustRightInd w:val="0"/>
              <w:snapToGrid w:val="0"/>
              <w:jc w:val="center"/>
              <w:rPr>
                <w:rFonts w:ascii="仿宋_GB2312" w:eastAsia="仿宋_GB2312" w:hAnsi="仿宋_GB2312" w:cs="仿宋_GB2312"/>
                <w:color w:val="000000"/>
                <w:sz w:val="21"/>
                <w:szCs w:val="21"/>
              </w:rPr>
            </w:pPr>
          </w:p>
        </w:tc>
        <w:tc>
          <w:tcPr>
            <w:tcW w:w="2416"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13.5</w:t>
            </w:r>
          </w:p>
        </w:tc>
      </w:tr>
      <w:tr w:rsidR="00372A39">
        <w:tc>
          <w:tcPr>
            <w:tcW w:w="1137"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3</w:t>
            </w:r>
          </w:p>
        </w:tc>
        <w:tc>
          <w:tcPr>
            <w:tcW w:w="3805"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500千伏五华（兴宁）输变电工程</w:t>
            </w:r>
          </w:p>
        </w:tc>
        <w:tc>
          <w:tcPr>
            <w:tcW w:w="2257"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主变容量2×75万千伏安;500千伏出线4回,新建线路长度43千米;220千伏出线12回,新建线路186千米</w:t>
            </w:r>
          </w:p>
        </w:tc>
        <w:tc>
          <w:tcPr>
            <w:tcW w:w="2558" w:type="dxa"/>
            <w:vMerge w:val="restart"/>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广东电网公司</w:t>
            </w:r>
          </w:p>
        </w:tc>
        <w:tc>
          <w:tcPr>
            <w:tcW w:w="1815"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2020-2022</w:t>
            </w:r>
          </w:p>
        </w:tc>
        <w:tc>
          <w:tcPr>
            <w:tcW w:w="2416"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6.2</w:t>
            </w:r>
          </w:p>
        </w:tc>
      </w:tr>
      <w:tr w:rsidR="00372A39">
        <w:tc>
          <w:tcPr>
            <w:tcW w:w="1137"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4</w:t>
            </w:r>
          </w:p>
        </w:tc>
        <w:tc>
          <w:tcPr>
            <w:tcW w:w="3805"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500千伏闽粤联网工程梅州段</w:t>
            </w:r>
          </w:p>
        </w:tc>
        <w:tc>
          <w:tcPr>
            <w:tcW w:w="2257"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新建线路79千米</w:t>
            </w:r>
          </w:p>
        </w:tc>
        <w:tc>
          <w:tcPr>
            <w:tcW w:w="2558" w:type="dxa"/>
            <w:vMerge/>
            <w:tcBorders>
              <w:tl2br w:val="nil"/>
              <w:tr2bl w:val="nil"/>
            </w:tcBorders>
            <w:shd w:val="clear" w:color="auto" w:fill="auto"/>
            <w:tcMar>
              <w:top w:w="15" w:type="dxa"/>
              <w:left w:w="15" w:type="dxa"/>
              <w:right w:w="15" w:type="dxa"/>
            </w:tcMar>
            <w:vAlign w:val="center"/>
          </w:tcPr>
          <w:p w:rsidR="00372A39" w:rsidRDefault="00372A39">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2020-2022</w:t>
            </w:r>
          </w:p>
        </w:tc>
        <w:tc>
          <w:tcPr>
            <w:tcW w:w="2416"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4.3</w:t>
            </w:r>
          </w:p>
        </w:tc>
      </w:tr>
      <w:tr w:rsidR="00372A39">
        <w:tc>
          <w:tcPr>
            <w:tcW w:w="1137"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w:t>
            </w:r>
          </w:p>
        </w:tc>
        <w:tc>
          <w:tcPr>
            <w:tcW w:w="3805"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梅州抽水蓄能电站接入系统工程（含开关站）</w:t>
            </w:r>
          </w:p>
        </w:tc>
        <w:tc>
          <w:tcPr>
            <w:tcW w:w="2257" w:type="dxa"/>
            <w:tcBorders>
              <w:tl2br w:val="nil"/>
              <w:tr2bl w:val="nil"/>
            </w:tcBorders>
            <w:shd w:val="clear" w:color="auto" w:fill="auto"/>
            <w:tcMar>
              <w:top w:w="15" w:type="dxa"/>
              <w:left w:w="15" w:type="dxa"/>
              <w:right w:w="15" w:type="dxa"/>
            </w:tcMar>
            <w:vAlign w:val="center"/>
          </w:tcPr>
          <w:p w:rsidR="00372A39" w:rsidRDefault="00372A39">
            <w:pPr>
              <w:adjustRightInd w:val="0"/>
              <w:snapToGrid w:val="0"/>
              <w:jc w:val="center"/>
              <w:rPr>
                <w:rFonts w:ascii="仿宋_GB2312" w:eastAsia="仿宋_GB2312" w:hAnsi="仿宋_GB2312" w:cs="仿宋_GB2312"/>
                <w:color w:val="000000"/>
                <w:sz w:val="21"/>
                <w:szCs w:val="21"/>
              </w:rPr>
            </w:pPr>
          </w:p>
        </w:tc>
        <w:tc>
          <w:tcPr>
            <w:tcW w:w="2558" w:type="dxa"/>
            <w:vMerge/>
            <w:tcBorders>
              <w:tl2br w:val="nil"/>
              <w:tr2bl w:val="nil"/>
            </w:tcBorders>
            <w:shd w:val="clear" w:color="auto" w:fill="auto"/>
            <w:tcMar>
              <w:top w:w="15" w:type="dxa"/>
              <w:left w:w="15" w:type="dxa"/>
              <w:right w:w="15" w:type="dxa"/>
            </w:tcMar>
            <w:vAlign w:val="center"/>
          </w:tcPr>
          <w:p w:rsidR="00372A39" w:rsidRDefault="00372A39">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2020-2021</w:t>
            </w:r>
          </w:p>
        </w:tc>
        <w:tc>
          <w:tcPr>
            <w:tcW w:w="2416"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w:t>
            </w:r>
          </w:p>
        </w:tc>
      </w:tr>
      <w:tr w:rsidR="00372A39">
        <w:tc>
          <w:tcPr>
            <w:tcW w:w="1137"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6</w:t>
            </w:r>
          </w:p>
        </w:tc>
        <w:tc>
          <w:tcPr>
            <w:tcW w:w="3805"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500千伏嘉应站至220千伏雁洋站第二回线路工程</w:t>
            </w:r>
          </w:p>
        </w:tc>
        <w:tc>
          <w:tcPr>
            <w:tcW w:w="2257" w:type="dxa"/>
            <w:tcBorders>
              <w:tl2br w:val="nil"/>
              <w:tr2bl w:val="nil"/>
            </w:tcBorders>
            <w:shd w:val="clear" w:color="auto" w:fill="auto"/>
            <w:tcMar>
              <w:top w:w="15" w:type="dxa"/>
              <w:left w:w="15" w:type="dxa"/>
              <w:right w:w="15" w:type="dxa"/>
            </w:tcMar>
            <w:vAlign w:val="center"/>
          </w:tcPr>
          <w:p w:rsidR="00372A39" w:rsidRDefault="00372A39">
            <w:pPr>
              <w:adjustRightInd w:val="0"/>
              <w:snapToGrid w:val="0"/>
              <w:jc w:val="center"/>
              <w:rPr>
                <w:rFonts w:ascii="仿宋_GB2312" w:eastAsia="仿宋_GB2312" w:hAnsi="仿宋_GB2312" w:cs="仿宋_GB2312"/>
                <w:color w:val="000000"/>
                <w:sz w:val="21"/>
                <w:szCs w:val="21"/>
              </w:rPr>
            </w:pPr>
          </w:p>
        </w:tc>
        <w:tc>
          <w:tcPr>
            <w:tcW w:w="2558" w:type="dxa"/>
            <w:vMerge/>
            <w:tcBorders>
              <w:tl2br w:val="nil"/>
              <w:tr2bl w:val="nil"/>
            </w:tcBorders>
            <w:shd w:val="clear" w:color="auto" w:fill="auto"/>
            <w:tcMar>
              <w:top w:w="15" w:type="dxa"/>
              <w:left w:w="15" w:type="dxa"/>
              <w:right w:w="15" w:type="dxa"/>
            </w:tcMar>
            <w:vAlign w:val="center"/>
          </w:tcPr>
          <w:p w:rsidR="00372A39" w:rsidRDefault="00372A39">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2020-2021</w:t>
            </w:r>
          </w:p>
        </w:tc>
        <w:tc>
          <w:tcPr>
            <w:tcW w:w="2416" w:type="dxa"/>
            <w:tcBorders>
              <w:tl2br w:val="nil"/>
              <w:tr2bl w:val="nil"/>
            </w:tcBorders>
            <w:shd w:val="clear" w:color="auto" w:fill="auto"/>
            <w:tcMar>
              <w:top w:w="15" w:type="dxa"/>
              <w:left w:w="15" w:type="dxa"/>
              <w:right w:w="15" w:type="dxa"/>
            </w:tcMar>
            <w:vAlign w:val="center"/>
          </w:tcPr>
          <w:p w:rsidR="00372A39" w:rsidRDefault="00F54C2B">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w:t>
            </w:r>
          </w:p>
        </w:tc>
      </w:tr>
      <w:tr w:rsidR="00C05936">
        <w:tc>
          <w:tcPr>
            <w:tcW w:w="1137"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二</w:t>
            </w:r>
          </w:p>
        </w:tc>
        <w:tc>
          <w:tcPr>
            <w:tcW w:w="3805"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新开工项目</w:t>
            </w:r>
          </w:p>
        </w:tc>
        <w:tc>
          <w:tcPr>
            <w:tcW w:w="2257"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p>
        </w:tc>
        <w:tc>
          <w:tcPr>
            <w:tcW w:w="2558"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p>
        </w:tc>
        <w:tc>
          <w:tcPr>
            <w:tcW w:w="2416"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225</w:t>
            </w:r>
          </w:p>
        </w:tc>
      </w:tr>
      <w:tr w:rsidR="00C05936">
        <w:tc>
          <w:tcPr>
            <w:tcW w:w="1137"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（一）</w:t>
            </w:r>
          </w:p>
        </w:tc>
        <w:tc>
          <w:tcPr>
            <w:tcW w:w="3805"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电源项目</w:t>
            </w:r>
          </w:p>
        </w:tc>
        <w:tc>
          <w:tcPr>
            <w:tcW w:w="2257"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p>
        </w:tc>
        <w:tc>
          <w:tcPr>
            <w:tcW w:w="2558"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p>
        </w:tc>
        <w:tc>
          <w:tcPr>
            <w:tcW w:w="2416"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125</w:t>
            </w:r>
          </w:p>
        </w:tc>
      </w:tr>
      <w:tr w:rsidR="00C05936">
        <w:tc>
          <w:tcPr>
            <w:tcW w:w="1137" w:type="dxa"/>
            <w:tcBorders>
              <w:tl2br w:val="nil"/>
              <w:tr2bl w:val="nil"/>
            </w:tcBorders>
            <w:shd w:val="clear" w:color="auto" w:fill="auto"/>
            <w:tcMar>
              <w:top w:w="15" w:type="dxa"/>
              <w:left w:w="15" w:type="dxa"/>
              <w:right w:w="15" w:type="dxa"/>
            </w:tcMar>
            <w:vAlign w:val="center"/>
          </w:tcPr>
          <w:p w:rsidR="00C05936"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7</w:t>
            </w:r>
          </w:p>
        </w:tc>
        <w:tc>
          <w:tcPr>
            <w:tcW w:w="3805"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广东粤电大埔电厂二期工程</w:t>
            </w:r>
          </w:p>
        </w:tc>
        <w:tc>
          <w:tcPr>
            <w:tcW w:w="2257"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装机容量2×100万千瓦</w:t>
            </w:r>
          </w:p>
        </w:tc>
        <w:tc>
          <w:tcPr>
            <w:tcW w:w="2558" w:type="dxa"/>
            <w:tcBorders>
              <w:tl2br w:val="nil"/>
              <w:tr2bl w:val="nil"/>
            </w:tcBorders>
            <w:shd w:val="clear" w:color="auto" w:fill="auto"/>
            <w:tcMar>
              <w:top w:w="15" w:type="dxa"/>
              <w:left w:w="15" w:type="dxa"/>
              <w:right w:w="15" w:type="dxa"/>
            </w:tcMar>
            <w:vAlign w:val="center"/>
          </w:tcPr>
          <w:p w:rsidR="00C05936" w:rsidRDefault="00C05936" w:rsidP="00C0593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广东粤电大埔发电有限公司</w:t>
            </w:r>
          </w:p>
        </w:tc>
        <w:tc>
          <w:tcPr>
            <w:tcW w:w="1815"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2022-2025</w:t>
            </w:r>
          </w:p>
        </w:tc>
        <w:tc>
          <w:tcPr>
            <w:tcW w:w="2416"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75</w:t>
            </w:r>
          </w:p>
        </w:tc>
      </w:tr>
      <w:tr w:rsidR="00C05936">
        <w:tc>
          <w:tcPr>
            <w:tcW w:w="1137" w:type="dxa"/>
            <w:tcBorders>
              <w:tl2br w:val="nil"/>
              <w:tr2bl w:val="nil"/>
            </w:tcBorders>
            <w:shd w:val="clear" w:color="auto" w:fill="auto"/>
            <w:tcMar>
              <w:top w:w="15" w:type="dxa"/>
              <w:left w:w="15" w:type="dxa"/>
              <w:right w:w="15" w:type="dxa"/>
            </w:tcMar>
            <w:vAlign w:val="center"/>
          </w:tcPr>
          <w:p w:rsidR="00C05936"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8</w:t>
            </w:r>
          </w:p>
        </w:tc>
        <w:tc>
          <w:tcPr>
            <w:tcW w:w="3805"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梅州（五华）抽水蓄能电站二期</w:t>
            </w:r>
          </w:p>
        </w:tc>
        <w:tc>
          <w:tcPr>
            <w:tcW w:w="2257"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装机容量120万千瓦</w:t>
            </w:r>
          </w:p>
        </w:tc>
        <w:tc>
          <w:tcPr>
            <w:tcW w:w="2558"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南方电网调峰调频发电有限公司</w:t>
            </w:r>
          </w:p>
        </w:tc>
        <w:tc>
          <w:tcPr>
            <w:tcW w:w="1815"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2022-2025</w:t>
            </w:r>
          </w:p>
        </w:tc>
        <w:tc>
          <w:tcPr>
            <w:tcW w:w="2416"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50</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9</w:t>
            </w:r>
          </w:p>
        </w:tc>
        <w:tc>
          <w:tcPr>
            <w:tcW w:w="3805" w:type="dxa"/>
            <w:tcBorders>
              <w:tl2br w:val="nil"/>
              <w:tr2bl w:val="nil"/>
            </w:tcBorders>
            <w:shd w:val="clear" w:color="auto" w:fill="auto"/>
            <w:tcMar>
              <w:top w:w="15" w:type="dxa"/>
              <w:left w:w="15" w:type="dxa"/>
              <w:right w:w="15" w:type="dxa"/>
            </w:tcMar>
            <w:vAlign w:val="center"/>
          </w:tcPr>
          <w:p w:rsidR="0014781E" w:rsidRPr="0014781E" w:rsidRDefault="0014781E">
            <w:pPr>
              <w:adjustRightInd w:val="0"/>
              <w:snapToGrid w:val="0"/>
              <w:jc w:val="center"/>
              <w:rPr>
                <w:rFonts w:ascii="仿宋_GB2312" w:eastAsia="仿宋_GB2312" w:hAnsi="仿宋_GB2312" w:cs="仿宋_GB2312"/>
                <w:color w:val="000000"/>
                <w:sz w:val="21"/>
                <w:szCs w:val="21"/>
              </w:rPr>
            </w:pPr>
            <w:r w:rsidRPr="0014781E">
              <w:rPr>
                <w:rFonts w:ascii="仿宋_GB2312" w:eastAsia="仿宋_GB2312" w:hAnsi="仿宋_GB2312" w:cs="仿宋_GB2312" w:hint="eastAsia"/>
                <w:color w:val="000000"/>
                <w:sz w:val="21"/>
                <w:szCs w:val="21"/>
              </w:rPr>
              <w:t>广东能源梅州平远光伏复合项目（一区）</w:t>
            </w:r>
          </w:p>
        </w:tc>
        <w:tc>
          <w:tcPr>
            <w:tcW w:w="2257"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sidRPr="0014781E">
              <w:rPr>
                <w:rFonts w:ascii="仿宋_GB2312" w:eastAsia="仿宋_GB2312" w:hAnsi="仿宋_GB2312" w:cs="仿宋_GB2312" w:hint="eastAsia"/>
                <w:color w:val="000000"/>
                <w:sz w:val="21"/>
                <w:szCs w:val="21"/>
              </w:rPr>
              <w:t>装机容量400兆瓦</w:t>
            </w:r>
          </w:p>
        </w:tc>
        <w:tc>
          <w:tcPr>
            <w:tcW w:w="2558"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sidRPr="0014781E">
              <w:rPr>
                <w:rFonts w:ascii="仿宋_GB2312" w:eastAsia="仿宋_GB2312" w:hAnsi="仿宋_GB2312" w:cs="仿宋_GB2312" w:hint="eastAsia"/>
                <w:color w:val="000000"/>
                <w:sz w:val="21"/>
                <w:szCs w:val="21"/>
              </w:rPr>
              <w:t>广东电力开发公司</w:t>
            </w:r>
          </w:p>
        </w:tc>
        <w:tc>
          <w:tcPr>
            <w:tcW w:w="1815" w:type="dxa"/>
            <w:tcBorders>
              <w:tl2br w:val="nil"/>
              <w:tr2bl w:val="nil"/>
            </w:tcBorders>
            <w:shd w:val="clear" w:color="auto" w:fill="auto"/>
            <w:tcMar>
              <w:top w:w="15" w:type="dxa"/>
              <w:left w:w="15" w:type="dxa"/>
              <w:right w:w="15" w:type="dxa"/>
            </w:tcMar>
            <w:vAlign w:val="center"/>
          </w:tcPr>
          <w:p w:rsidR="0014781E" w:rsidRDefault="0014781E" w:rsidP="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2021-2025</w:t>
            </w:r>
          </w:p>
        </w:tc>
        <w:tc>
          <w:tcPr>
            <w:tcW w:w="2416"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10</w:t>
            </w:r>
          </w:p>
        </w:tc>
        <w:tc>
          <w:tcPr>
            <w:tcW w:w="380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sidRPr="0014781E">
              <w:rPr>
                <w:rFonts w:ascii="仿宋_GB2312" w:eastAsia="仿宋_GB2312" w:hAnsi="仿宋_GB2312" w:cs="仿宋_GB2312" w:hint="eastAsia"/>
                <w:color w:val="000000"/>
                <w:sz w:val="21"/>
                <w:szCs w:val="21"/>
              </w:rPr>
              <w:t>平远县仁居镇五福村野湖60MW农光互补</w:t>
            </w:r>
            <w:r w:rsidRPr="0014781E">
              <w:rPr>
                <w:rFonts w:ascii="仿宋_GB2312" w:eastAsia="仿宋_GB2312" w:hAnsi="仿宋_GB2312" w:cs="仿宋_GB2312" w:hint="eastAsia"/>
                <w:color w:val="000000"/>
                <w:sz w:val="21"/>
                <w:szCs w:val="21"/>
              </w:rPr>
              <w:lastRenderedPageBreak/>
              <w:t>发电项目</w:t>
            </w:r>
          </w:p>
        </w:tc>
        <w:tc>
          <w:tcPr>
            <w:tcW w:w="2257" w:type="dxa"/>
            <w:tcBorders>
              <w:tl2br w:val="nil"/>
              <w:tr2bl w:val="nil"/>
            </w:tcBorders>
            <w:shd w:val="clear" w:color="auto" w:fill="auto"/>
            <w:tcMar>
              <w:top w:w="15" w:type="dxa"/>
              <w:left w:w="15" w:type="dxa"/>
              <w:right w:w="15" w:type="dxa"/>
            </w:tcMar>
            <w:vAlign w:val="center"/>
          </w:tcPr>
          <w:p w:rsidR="0014781E" w:rsidRDefault="0014781E" w:rsidP="0014781E">
            <w:pPr>
              <w:adjustRightInd w:val="0"/>
              <w:snapToGrid w:val="0"/>
              <w:jc w:val="center"/>
              <w:rPr>
                <w:rFonts w:ascii="仿宋_GB2312" w:eastAsia="仿宋_GB2312" w:hAnsi="仿宋_GB2312" w:cs="仿宋_GB2312"/>
                <w:color w:val="000000"/>
                <w:sz w:val="21"/>
                <w:szCs w:val="21"/>
              </w:rPr>
            </w:pPr>
            <w:r w:rsidRPr="0014781E">
              <w:rPr>
                <w:rFonts w:ascii="仿宋_GB2312" w:eastAsia="仿宋_GB2312" w:hAnsi="仿宋_GB2312" w:cs="仿宋_GB2312" w:hint="eastAsia"/>
                <w:color w:val="000000"/>
                <w:sz w:val="21"/>
                <w:szCs w:val="21"/>
              </w:rPr>
              <w:lastRenderedPageBreak/>
              <w:t>装机容量</w:t>
            </w:r>
            <w:r>
              <w:rPr>
                <w:rFonts w:ascii="仿宋_GB2312" w:eastAsia="仿宋_GB2312" w:hAnsi="仿宋_GB2312" w:cs="仿宋_GB2312" w:hint="eastAsia"/>
                <w:color w:val="000000"/>
                <w:sz w:val="21"/>
                <w:szCs w:val="21"/>
              </w:rPr>
              <w:t>6</w:t>
            </w:r>
            <w:r w:rsidRPr="0014781E">
              <w:rPr>
                <w:rFonts w:ascii="仿宋_GB2312" w:eastAsia="仿宋_GB2312" w:hAnsi="仿宋_GB2312" w:cs="仿宋_GB2312" w:hint="eastAsia"/>
                <w:color w:val="000000"/>
                <w:sz w:val="21"/>
                <w:szCs w:val="21"/>
              </w:rPr>
              <w:t>0兆瓦</w:t>
            </w:r>
          </w:p>
        </w:tc>
        <w:tc>
          <w:tcPr>
            <w:tcW w:w="2558"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14781E" w:rsidRDefault="0014781E" w:rsidP="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2021-2022</w:t>
            </w:r>
          </w:p>
        </w:tc>
        <w:tc>
          <w:tcPr>
            <w:tcW w:w="2416"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2.7</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lastRenderedPageBreak/>
              <w:t>11</w:t>
            </w:r>
          </w:p>
        </w:tc>
        <w:tc>
          <w:tcPr>
            <w:tcW w:w="3805" w:type="dxa"/>
            <w:tcBorders>
              <w:tl2br w:val="nil"/>
              <w:tr2bl w:val="nil"/>
            </w:tcBorders>
            <w:shd w:val="clear" w:color="auto" w:fill="auto"/>
            <w:tcMar>
              <w:top w:w="15" w:type="dxa"/>
              <w:left w:w="15" w:type="dxa"/>
              <w:right w:w="15" w:type="dxa"/>
            </w:tcMar>
            <w:vAlign w:val="center"/>
          </w:tcPr>
          <w:p w:rsidR="0014781E" w:rsidRPr="0014781E" w:rsidRDefault="0014781E">
            <w:pPr>
              <w:adjustRightInd w:val="0"/>
              <w:snapToGrid w:val="0"/>
              <w:jc w:val="center"/>
              <w:rPr>
                <w:rFonts w:ascii="仿宋_GB2312" w:eastAsia="仿宋_GB2312" w:hAnsi="仿宋_GB2312" w:cs="仿宋_GB2312"/>
                <w:color w:val="000000"/>
                <w:sz w:val="21"/>
                <w:szCs w:val="21"/>
              </w:rPr>
            </w:pPr>
            <w:r w:rsidRPr="0014781E">
              <w:rPr>
                <w:rFonts w:ascii="仿宋_GB2312" w:eastAsia="仿宋_GB2312" w:hAnsi="仿宋_GB2312" w:cs="仿宋_GB2312" w:hint="eastAsia"/>
                <w:color w:val="000000"/>
                <w:sz w:val="21"/>
                <w:szCs w:val="21"/>
              </w:rPr>
              <w:t>广东粤电平远泗水风电场项目</w:t>
            </w:r>
          </w:p>
        </w:tc>
        <w:tc>
          <w:tcPr>
            <w:tcW w:w="2257" w:type="dxa"/>
            <w:tcBorders>
              <w:tl2br w:val="nil"/>
              <w:tr2bl w:val="nil"/>
            </w:tcBorders>
            <w:shd w:val="clear" w:color="auto" w:fill="auto"/>
            <w:tcMar>
              <w:top w:w="15" w:type="dxa"/>
              <w:left w:w="15" w:type="dxa"/>
              <w:right w:w="15" w:type="dxa"/>
            </w:tcMar>
            <w:vAlign w:val="center"/>
          </w:tcPr>
          <w:p w:rsidR="0014781E" w:rsidRPr="0014781E" w:rsidRDefault="0014781E" w:rsidP="0014781E">
            <w:pPr>
              <w:adjustRightInd w:val="0"/>
              <w:snapToGrid w:val="0"/>
              <w:jc w:val="center"/>
              <w:rPr>
                <w:rFonts w:ascii="仿宋_GB2312" w:eastAsia="仿宋_GB2312" w:hAnsi="仿宋_GB2312" w:cs="仿宋_GB2312"/>
                <w:color w:val="000000"/>
                <w:sz w:val="21"/>
                <w:szCs w:val="21"/>
              </w:rPr>
            </w:pPr>
            <w:r w:rsidRPr="0014781E">
              <w:rPr>
                <w:rFonts w:ascii="仿宋_GB2312" w:eastAsia="仿宋_GB2312" w:hAnsi="仿宋_GB2312" w:cs="仿宋_GB2312" w:hint="eastAsia"/>
                <w:color w:val="000000"/>
                <w:sz w:val="21"/>
                <w:szCs w:val="21"/>
              </w:rPr>
              <w:t>装机容量40兆瓦</w:t>
            </w:r>
          </w:p>
        </w:tc>
        <w:tc>
          <w:tcPr>
            <w:tcW w:w="2558"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sidRPr="0014781E">
              <w:rPr>
                <w:rFonts w:ascii="仿宋_GB2312" w:eastAsia="仿宋_GB2312" w:hAnsi="仿宋_GB2312" w:cs="仿宋_GB2312" w:hint="eastAsia"/>
                <w:color w:val="000000"/>
                <w:sz w:val="21"/>
                <w:szCs w:val="21"/>
              </w:rPr>
              <w:t>广东粤电平远风电有限公司</w:t>
            </w:r>
          </w:p>
        </w:tc>
        <w:tc>
          <w:tcPr>
            <w:tcW w:w="1815" w:type="dxa"/>
            <w:tcBorders>
              <w:tl2br w:val="nil"/>
              <w:tr2bl w:val="nil"/>
            </w:tcBorders>
            <w:shd w:val="clear" w:color="auto" w:fill="auto"/>
            <w:tcMar>
              <w:top w:w="15" w:type="dxa"/>
              <w:left w:w="15" w:type="dxa"/>
              <w:right w:w="15" w:type="dxa"/>
            </w:tcMar>
            <w:vAlign w:val="center"/>
          </w:tcPr>
          <w:p w:rsidR="0014781E" w:rsidRDefault="0014781E" w:rsidP="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2021-2022</w:t>
            </w:r>
          </w:p>
        </w:tc>
        <w:tc>
          <w:tcPr>
            <w:tcW w:w="2416"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3.6</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12</w:t>
            </w:r>
          </w:p>
        </w:tc>
        <w:tc>
          <w:tcPr>
            <w:tcW w:w="3805" w:type="dxa"/>
            <w:tcBorders>
              <w:tl2br w:val="nil"/>
              <w:tr2bl w:val="nil"/>
            </w:tcBorders>
            <w:shd w:val="clear" w:color="auto" w:fill="auto"/>
            <w:tcMar>
              <w:top w:w="15" w:type="dxa"/>
              <w:left w:w="15" w:type="dxa"/>
              <w:right w:w="15" w:type="dxa"/>
            </w:tcMar>
            <w:vAlign w:val="center"/>
          </w:tcPr>
          <w:p w:rsidR="0014781E" w:rsidRPr="0014781E" w:rsidRDefault="0014781E">
            <w:pPr>
              <w:adjustRightInd w:val="0"/>
              <w:snapToGrid w:val="0"/>
              <w:jc w:val="center"/>
              <w:rPr>
                <w:rFonts w:ascii="仿宋_GB2312" w:eastAsia="仿宋_GB2312" w:hAnsi="仿宋_GB2312" w:cs="仿宋_GB2312"/>
                <w:color w:val="000000"/>
                <w:sz w:val="21"/>
                <w:szCs w:val="21"/>
              </w:rPr>
            </w:pPr>
            <w:r w:rsidRPr="0014781E">
              <w:rPr>
                <w:rFonts w:ascii="仿宋_GB2312" w:eastAsia="仿宋_GB2312" w:hAnsi="仿宋_GB2312" w:cs="仿宋_GB2312" w:hint="eastAsia"/>
                <w:color w:val="000000"/>
                <w:sz w:val="21"/>
                <w:szCs w:val="21"/>
              </w:rPr>
              <w:t>华润梅州分布式光伏集中运营项目一期22.3MW项目</w:t>
            </w:r>
          </w:p>
        </w:tc>
        <w:tc>
          <w:tcPr>
            <w:tcW w:w="2257" w:type="dxa"/>
            <w:tcBorders>
              <w:tl2br w:val="nil"/>
              <w:tr2bl w:val="nil"/>
            </w:tcBorders>
            <w:shd w:val="clear" w:color="auto" w:fill="auto"/>
            <w:tcMar>
              <w:top w:w="15" w:type="dxa"/>
              <w:left w:w="15" w:type="dxa"/>
              <w:right w:w="15" w:type="dxa"/>
            </w:tcMar>
            <w:vAlign w:val="center"/>
          </w:tcPr>
          <w:p w:rsidR="0014781E" w:rsidRPr="0014781E" w:rsidRDefault="0014781E" w:rsidP="0014781E">
            <w:pPr>
              <w:adjustRightInd w:val="0"/>
              <w:snapToGrid w:val="0"/>
              <w:jc w:val="center"/>
              <w:rPr>
                <w:rFonts w:ascii="仿宋_GB2312" w:eastAsia="仿宋_GB2312" w:hAnsi="仿宋_GB2312" w:cs="仿宋_GB2312"/>
                <w:color w:val="000000"/>
                <w:sz w:val="21"/>
                <w:szCs w:val="21"/>
              </w:rPr>
            </w:pPr>
            <w:r w:rsidRPr="0014781E">
              <w:rPr>
                <w:rFonts w:ascii="仿宋_GB2312" w:eastAsia="仿宋_GB2312" w:hAnsi="仿宋_GB2312" w:cs="仿宋_GB2312" w:hint="eastAsia"/>
                <w:color w:val="000000"/>
                <w:sz w:val="21"/>
                <w:szCs w:val="21"/>
              </w:rPr>
              <w:t>装机容量为22.3兆瓦</w:t>
            </w:r>
          </w:p>
        </w:tc>
        <w:tc>
          <w:tcPr>
            <w:tcW w:w="2558" w:type="dxa"/>
            <w:tcBorders>
              <w:tl2br w:val="nil"/>
              <w:tr2bl w:val="nil"/>
            </w:tcBorders>
            <w:shd w:val="clear" w:color="auto" w:fill="auto"/>
            <w:tcMar>
              <w:top w:w="15" w:type="dxa"/>
              <w:left w:w="15" w:type="dxa"/>
              <w:right w:w="15" w:type="dxa"/>
            </w:tcMar>
            <w:vAlign w:val="center"/>
          </w:tcPr>
          <w:p w:rsidR="0014781E" w:rsidRPr="0014781E" w:rsidRDefault="0014781E">
            <w:pPr>
              <w:adjustRightInd w:val="0"/>
              <w:snapToGrid w:val="0"/>
              <w:jc w:val="center"/>
              <w:rPr>
                <w:rFonts w:ascii="仿宋_GB2312" w:eastAsia="仿宋_GB2312" w:hAnsi="仿宋_GB2312" w:cs="仿宋_GB2312"/>
                <w:color w:val="000000"/>
                <w:sz w:val="21"/>
                <w:szCs w:val="21"/>
              </w:rPr>
            </w:pPr>
            <w:r w:rsidRPr="0014781E">
              <w:rPr>
                <w:rFonts w:ascii="仿宋_GB2312" w:eastAsia="仿宋_GB2312" w:hAnsi="仿宋_GB2312" w:cs="仿宋_GB2312" w:hint="eastAsia"/>
                <w:color w:val="000000"/>
                <w:sz w:val="21"/>
                <w:szCs w:val="21"/>
              </w:rPr>
              <w:t>华润电力新能源投资有限公司</w:t>
            </w:r>
          </w:p>
        </w:tc>
        <w:tc>
          <w:tcPr>
            <w:tcW w:w="1815" w:type="dxa"/>
            <w:tcBorders>
              <w:tl2br w:val="nil"/>
              <w:tr2bl w:val="nil"/>
            </w:tcBorders>
            <w:shd w:val="clear" w:color="auto" w:fill="auto"/>
            <w:tcMar>
              <w:top w:w="15" w:type="dxa"/>
              <w:left w:w="15" w:type="dxa"/>
              <w:right w:w="15" w:type="dxa"/>
            </w:tcMar>
            <w:vAlign w:val="center"/>
          </w:tcPr>
          <w:p w:rsidR="0014781E" w:rsidRDefault="0014781E" w:rsidP="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2021-2023</w:t>
            </w:r>
          </w:p>
        </w:tc>
        <w:tc>
          <w:tcPr>
            <w:tcW w:w="2416"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0.77</w:t>
            </w:r>
          </w:p>
        </w:tc>
      </w:tr>
      <w:tr w:rsidR="00C05936">
        <w:tc>
          <w:tcPr>
            <w:tcW w:w="1137"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（二）</w:t>
            </w:r>
          </w:p>
        </w:tc>
        <w:tc>
          <w:tcPr>
            <w:tcW w:w="3805"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电网项目</w:t>
            </w:r>
          </w:p>
        </w:tc>
        <w:tc>
          <w:tcPr>
            <w:tcW w:w="2257"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p>
        </w:tc>
        <w:tc>
          <w:tcPr>
            <w:tcW w:w="2558"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p>
        </w:tc>
        <w:tc>
          <w:tcPr>
            <w:tcW w:w="2416" w:type="dxa"/>
            <w:tcBorders>
              <w:tl2br w:val="nil"/>
              <w:tr2bl w:val="nil"/>
            </w:tcBorders>
            <w:shd w:val="clear" w:color="auto" w:fill="auto"/>
            <w:tcMar>
              <w:top w:w="15" w:type="dxa"/>
              <w:left w:w="15" w:type="dxa"/>
              <w:right w:w="15" w:type="dxa"/>
            </w:tcMar>
            <w:vAlign w:val="center"/>
          </w:tcPr>
          <w:p w:rsidR="00C05936" w:rsidRDefault="00C0593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13</w:t>
            </w:r>
          </w:p>
        </w:tc>
        <w:tc>
          <w:tcPr>
            <w:tcW w:w="380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220千伏叶塘站扩建第二台主变工程</w:t>
            </w:r>
          </w:p>
        </w:tc>
        <w:tc>
          <w:tcPr>
            <w:tcW w:w="2257"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2558" w:type="dxa"/>
            <w:vMerge w:val="restart"/>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广东电网公司</w:t>
            </w:r>
          </w:p>
        </w:tc>
        <w:tc>
          <w:tcPr>
            <w:tcW w:w="181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2021-2022</w:t>
            </w:r>
          </w:p>
        </w:tc>
        <w:tc>
          <w:tcPr>
            <w:tcW w:w="2416"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2.5</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14</w:t>
            </w:r>
          </w:p>
        </w:tc>
        <w:tc>
          <w:tcPr>
            <w:tcW w:w="380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五华220千伏华城输变电工程</w:t>
            </w:r>
          </w:p>
        </w:tc>
        <w:tc>
          <w:tcPr>
            <w:tcW w:w="2257"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2558" w:type="dxa"/>
            <w:vMerge/>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2021-2023</w:t>
            </w:r>
          </w:p>
        </w:tc>
        <w:tc>
          <w:tcPr>
            <w:tcW w:w="2416"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2.5</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15</w:t>
            </w:r>
          </w:p>
        </w:tc>
        <w:tc>
          <w:tcPr>
            <w:tcW w:w="380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500千伏五华站配套220千伏线路工程</w:t>
            </w:r>
          </w:p>
        </w:tc>
        <w:tc>
          <w:tcPr>
            <w:tcW w:w="2257"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2558" w:type="dxa"/>
            <w:vMerge/>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2021-2023</w:t>
            </w:r>
          </w:p>
        </w:tc>
        <w:tc>
          <w:tcPr>
            <w:tcW w:w="2416"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2.5</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16</w:t>
            </w:r>
          </w:p>
        </w:tc>
        <w:tc>
          <w:tcPr>
            <w:tcW w:w="380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梅江区220千伏城东输变电工程</w:t>
            </w:r>
          </w:p>
        </w:tc>
        <w:tc>
          <w:tcPr>
            <w:tcW w:w="2257"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2558" w:type="dxa"/>
            <w:vMerge/>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2022-2024</w:t>
            </w:r>
          </w:p>
        </w:tc>
        <w:tc>
          <w:tcPr>
            <w:tcW w:w="2416"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2.5</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17</w:t>
            </w:r>
          </w:p>
        </w:tc>
        <w:tc>
          <w:tcPr>
            <w:tcW w:w="380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丰顺220千伏塔下输变电工程</w:t>
            </w:r>
          </w:p>
        </w:tc>
        <w:tc>
          <w:tcPr>
            <w:tcW w:w="2257"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2558" w:type="dxa"/>
            <w:vMerge/>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2023-2025</w:t>
            </w:r>
          </w:p>
        </w:tc>
        <w:tc>
          <w:tcPr>
            <w:tcW w:w="2416"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2.5</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rsidP="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18</w:t>
            </w:r>
          </w:p>
        </w:tc>
        <w:tc>
          <w:tcPr>
            <w:tcW w:w="380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110千伏及以下配网输变电工程</w:t>
            </w:r>
          </w:p>
        </w:tc>
        <w:tc>
          <w:tcPr>
            <w:tcW w:w="2257"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2558" w:type="dxa"/>
            <w:vMerge/>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2021-2025</w:t>
            </w:r>
          </w:p>
        </w:tc>
        <w:tc>
          <w:tcPr>
            <w:tcW w:w="2416"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7.5</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（三）</w:t>
            </w:r>
          </w:p>
        </w:tc>
        <w:tc>
          <w:tcPr>
            <w:tcW w:w="380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天然气管网项目</w:t>
            </w:r>
          </w:p>
        </w:tc>
        <w:tc>
          <w:tcPr>
            <w:tcW w:w="2257"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2558"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2416"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50</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19</w:t>
            </w:r>
          </w:p>
        </w:tc>
        <w:tc>
          <w:tcPr>
            <w:tcW w:w="3805" w:type="dxa"/>
            <w:tcBorders>
              <w:tl2br w:val="nil"/>
              <w:tr2bl w:val="nil"/>
            </w:tcBorders>
            <w:shd w:val="clear" w:color="auto" w:fill="auto"/>
            <w:tcMar>
              <w:top w:w="15" w:type="dxa"/>
              <w:left w:w="15" w:type="dxa"/>
              <w:right w:w="15" w:type="dxa"/>
            </w:tcMar>
            <w:vAlign w:val="center"/>
          </w:tcPr>
          <w:p w:rsidR="0014781E" w:rsidRDefault="0014781E" w:rsidP="00BC4DB0">
            <w:pPr>
              <w:adjustRightInd w:val="0"/>
              <w:snapToGrid w:val="0"/>
              <w:jc w:val="center"/>
              <w:rPr>
                <w:rFonts w:ascii="仿宋_GB2312" w:eastAsia="仿宋_GB2312" w:hAnsi="仿宋_GB2312" w:cs="仿宋_GB2312"/>
                <w:color w:val="000000"/>
                <w:sz w:val="21"/>
                <w:szCs w:val="22"/>
              </w:rPr>
            </w:pPr>
            <w:r>
              <w:rPr>
                <w:rFonts w:ascii="仿宋_GB2312" w:eastAsia="仿宋_GB2312" w:hAnsi="仿宋_GB2312" w:cs="仿宋_GB2312" w:hint="eastAsia"/>
                <w:color w:val="000000"/>
                <w:sz w:val="21"/>
                <w:szCs w:val="22"/>
              </w:rPr>
              <w:t>国家管网集团广东省天然气管网有限公司“县县通工程”</w:t>
            </w:r>
            <w:r>
              <w:rPr>
                <w:rFonts w:ascii="仿宋_GB2312" w:eastAsia="仿宋_GB2312" w:hAnsi="仿宋_GB2312" w:cs="仿宋_GB2312"/>
                <w:color w:val="000000"/>
                <w:sz w:val="21"/>
                <w:szCs w:val="22"/>
              </w:rPr>
              <w:t xml:space="preserve"> </w:t>
            </w:r>
          </w:p>
        </w:tc>
        <w:tc>
          <w:tcPr>
            <w:tcW w:w="2257"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2"/>
              </w:rPr>
              <w:t>新建梅州-五华-兴宁、梅州-蕉岭-平远、梅州-大埔等3个项目</w:t>
            </w:r>
          </w:p>
        </w:tc>
        <w:tc>
          <w:tcPr>
            <w:tcW w:w="2558"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2"/>
              </w:rPr>
              <w:t>国家管网集团广东省天然气管网有限公司</w:t>
            </w:r>
          </w:p>
        </w:tc>
        <w:tc>
          <w:tcPr>
            <w:tcW w:w="1815" w:type="dxa"/>
            <w:tcBorders>
              <w:tl2br w:val="nil"/>
              <w:tr2bl w:val="nil"/>
            </w:tcBorders>
            <w:shd w:val="clear" w:color="auto" w:fill="auto"/>
            <w:tcMar>
              <w:top w:w="15" w:type="dxa"/>
              <w:left w:w="15" w:type="dxa"/>
              <w:right w:w="15" w:type="dxa"/>
            </w:tcMar>
            <w:vAlign w:val="center"/>
          </w:tcPr>
          <w:p w:rsidR="0014781E" w:rsidRDefault="0014781E" w:rsidP="00BC4DB0">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2021-2023</w:t>
            </w:r>
          </w:p>
        </w:tc>
        <w:tc>
          <w:tcPr>
            <w:tcW w:w="2416"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13.6</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w:t>
            </w:r>
          </w:p>
        </w:tc>
        <w:tc>
          <w:tcPr>
            <w:tcW w:w="380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西三线闽粤支干线天然气管道二期</w:t>
            </w:r>
          </w:p>
        </w:tc>
        <w:tc>
          <w:tcPr>
            <w:tcW w:w="2257" w:type="dxa"/>
            <w:tcBorders>
              <w:tl2br w:val="nil"/>
              <w:tr2bl w:val="nil"/>
            </w:tcBorders>
            <w:shd w:val="clear" w:color="auto" w:fill="auto"/>
            <w:noWrap/>
            <w:tcMar>
              <w:top w:w="15" w:type="dxa"/>
              <w:left w:w="15" w:type="dxa"/>
              <w:right w:w="15" w:type="dxa"/>
            </w:tcMar>
            <w:vAlign w:val="center"/>
          </w:tcPr>
          <w:p w:rsidR="0014781E" w:rsidRPr="00BC4DB0" w:rsidRDefault="0014781E">
            <w:pPr>
              <w:adjustRightInd w:val="0"/>
              <w:snapToGrid w:val="0"/>
              <w:jc w:val="center"/>
              <w:rPr>
                <w:rFonts w:ascii="仿宋_GB2312" w:eastAsia="仿宋_GB2312" w:hAnsi="仿宋_GB2312" w:cs="仿宋_GB2312"/>
                <w:color w:val="000000"/>
                <w:sz w:val="21"/>
                <w:szCs w:val="22"/>
              </w:rPr>
            </w:pPr>
            <w:r>
              <w:rPr>
                <w:rFonts w:ascii="仿宋_GB2312" w:eastAsia="仿宋_GB2312" w:hAnsi="仿宋_GB2312" w:cs="仿宋_GB2312" w:hint="eastAsia"/>
                <w:color w:val="000000"/>
                <w:sz w:val="21"/>
                <w:szCs w:val="22"/>
              </w:rPr>
              <w:t>新建广东潮州-福建漳州段，途经大埔县</w:t>
            </w:r>
          </w:p>
        </w:tc>
        <w:tc>
          <w:tcPr>
            <w:tcW w:w="2558"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2"/>
              </w:rPr>
              <w:t>国家管网集团</w:t>
            </w:r>
          </w:p>
        </w:tc>
        <w:tc>
          <w:tcPr>
            <w:tcW w:w="1815" w:type="dxa"/>
            <w:tcBorders>
              <w:tl2br w:val="nil"/>
              <w:tr2bl w:val="nil"/>
            </w:tcBorders>
            <w:shd w:val="clear" w:color="auto" w:fill="auto"/>
            <w:tcMar>
              <w:top w:w="15" w:type="dxa"/>
              <w:left w:w="15" w:type="dxa"/>
              <w:right w:w="15" w:type="dxa"/>
            </w:tcMar>
            <w:vAlign w:val="center"/>
          </w:tcPr>
          <w:p w:rsidR="0014781E" w:rsidRDefault="0014781E" w:rsidP="00BC4DB0">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2021-2023</w:t>
            </w:r>
          </w:p>
        </w:tc>
        <w:tc>
          <w:tcPr>
            <w:tcW w:w="2416"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 xml:space="preserve"> </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rsidP="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21</w:t>
            </w:r>
          </w:p>
        </w:tc>
        <w:tc>
          <w:tcPr>
            <w:tcW w:w="380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天然气城镇管道建设（含接气站）</w:t>
            </w:r>
          </w:p>
        </w:tc>
        <w:tc>
          <w:tcPr>
            <w:tcW w:w="2257"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2558"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2021-2025</w:t>
            </w:r>
          </w:p>
        </w:tc>
        <w:tc>
          <w:tcPr>
            <w:tcW w:w="2416"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rsidP="0014781E">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（四）</w:t>
            </w:r>
          </w:p>
        </w:tc>
        <w:tc>
          <w:tcPr>
            <w:tcW w:w="3805"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天然气利用项目</w:t>
            </w:r>
          </w:p>
        </w:tc>
        <w:tc>
          <w:tcPr>
            <w:tcW w:w="2257"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p>
        </w:tc>
        <w:tc>
          <w:tcPr>
            <w:tcW w:w="2558"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p>
        </w:tc>
        <w:tc>
          <w:tcPr>
            <w:tcW w:w="2416"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26.4</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22</w:t>
            </w:r>
          </w:p>
        </w:tc>
        <w:tc>
          <w:tcPr>
            <w:tcW w:w="3805"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广州（梅州）产业转移工业园分布式综合能源站项目</w:t>
            </w:r>
          </w:p>
        </w:tc>
        <w:tc>
          <w:tcPr>
            <w:tcW w:w="2257"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2×5万千瓦燃气轮机组+2×2.2万千瓦抽气凝气式蒸汽轮组+配套供冷、供热管网配套工程</w:t>
            </w:r>
          </w:p>
        </w:tc>
        <w:tc>
          <w:tcPr>
            <w:tcW w:w="2558"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w:t>
            </w:r>
          </w:p>
        </w:tc>
        <w:tc>
          <w:tcPr>
            <w:tcW w:w="1815"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2021-2023</w:t>
            </w:r>
          </w:p>
        </w:tc>
        <w:tc>
          <w:tcPr>
            <w:tcW w:w="2416"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13.2</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23</w:t>
            </w:r>
          </w:p>
        </w:tc>
        <w:tc>
          <w:tcPr>
            <w:tcW w:w="3805"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东莞石碣（兴宁）产业转移工业园分布式能源站项目</w:t>
            </w:r>
          </w:p>
        </w:tc>
        <w:tc>
          <w:tcPr>
            <w:tcW w:w="2257"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2×5万千瓦燃气轮机组+2×2.2万千瓦抽气凝气式蒸汽轮组+配套供冷、供热管网配套工程</w:t>
            </w:r>
          </w:p>
        </w:tc>
        <w:tc>
          <w:tcPr>
            <w:tcW w:w="2558"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w:t>
            </w:r>
          </w:p>
        </w:tc>
        <w:tc>
          <w:tcPr>
            <w:tcW w:w="1815"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2022-2024</w:t>
            </w:r>
          </w:p>
        </w:tc>
        <w:tc>
          <w:tcPr>
            <w:tcW w:w="2416" w:type="dxa"/>
            <w:tcBorders>
              <w:tl2br w:val="nil"/>
              <w:tr2bl w:val="nil"/>
            </w:tcBorders>
            <w:shd w:val="clear" w:color="auto" w:fill="auto"/>
            <w:tcMar>
              <w:top w:w="15" w:type="dxa"/>
              <w:left w:w="15" w:type="dxa"/>
              <w:right w:w="15" w:type="dxa"/>
            </w:tcMar>
            <w:vAlign w:val="center"/>
          </w:tcPr>
          <w:p w:rsidR="0014781E" w:rsidRDefault="0014781E" w:rsidP="00AB58F6">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13.2</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rsidP="0014781E">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（五）</w:t>
            </w:r>
          </w:p>
        </w:tc>
        <w:tc>
          <w:tcPr>
            <w:tcW w:w="380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b/>
                <w:color w:val="000000"/>
                <w:sz w:val="21"/>
                <w:szCs w:val="21"/>
              </w:rPr>
            </w:pPr>
            <w:r>
              <w:rPr>
                <w:rFonts w:ascii="仿宋_GB2312" w:eastAsia="仿宋_GB2312" w:hAnsi="仿宋_GB2312" w:cs="仿宋_GB2312" w:hint="eastAsia"/>
                <w:b/>
                <w:color w:val="000000"/>
                <w:sz w:val="21"/>
                <w:szCs w:val="21"/>
              </w:rPr>
              <w:t>其他能源项目</w:t>
            </w:r>
          </w:p>
        </w:tc>
        <w:tc>
          <w:tcPr>
            <w:tcW w:w="2257"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2558"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2416"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30</w:t>
            </w:r>
          </w:p>
        </w:tc>
      </w:tr>
      <w:tr w:rsidR="0014781E">
        <w:tc>
          <w:tcPr>
            <w:tcW w:w="1137" w:type="dxa"/>
            <w:tcBorders>
              <w:tl2br w:val="nil"/>
              <w:tr2bl w:val="nil"/>
            </w:tcBorders>
            <w:shd w:val="clear" w:color="auto" w:fill="auto"/>
            <w:tcMar>
              <w:top w:w="15" w:type="dxa"/>
              <w:left w:w="15" w:type="dxa"/>
              <w:right w:w="15" w:type="dxa"/>
            </w:tcMar>
            <w:vAlign w:val="center"/>
          </w:tcPr>
          <w:p w:rsidR="0014781E" w:rsidRDefault="0014781E" w:rsidP="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lastRenderedPageBreak/>
              <w:t>24</w:t>
            </w:r>
          </w:p>
        </w:tc>
        <w:tc>
          <w:tcPr>
            <w:tcW w:w="380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梅州市生物质能源示范项目</w:t>
            </w:r>
          </w:p>
        </w:tc>
        <w:tc>
          <w:tcPr>
            <w:tcW w:w="2257"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2×5万千瓦凝汽式汽轮发电机组</w:t>
            </w:r>
          </w:p>
        </w:tc>
        <w:tc>
          <w:tcPr>
            <w:tcW w:w="2558"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p>
        </w:tc>
        <w:tc>
          <w:tcPr>
            <w:tcW w:w="1815"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2021-2024</w:t>
            </w:r>
          </w:p>
        </w:tc>
        <w:tc>
          <w:tcPr>
            <w:tcW w:w="2416" w:type="dxa"/>
            <w:tcBorders>
              <w:tl2br w:val="nil"/>
              <w:tr2bl w:val="nil"/>
            </w:tcBorders>
            <w:shd w:val="clear" w:color="auto" w:fill="auto"/>
            <w:tcMar>
              <w:top w:w="15" w:type="dxa"/>
              <w:left w:w="15" w:type="dxa"/>
              <w:right w:w="15" w:type="dxa"/>
            </w:tcMar>
            <w:vAlign w:val="center"/>
          </w:tcPr>
          <w:p w:rsidR="0014781E" w:rsidRDefault="0014781E">
            <w:pPr>
              <w:adjustRightInd w:val="0"/>
              <w:snapToGrid w:val="0"/>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25</w:t>
            </w:r>
          </w:p>
        </w:tc>
      </w:tr>
    </w:tbl>
    <w:p w:rsidR="00372A39" w:rsidRDefault="00372A39">
      <w:pPr>
        <w:adjustRightInd w:val="0"/>
        <w:snapToGrid w:val="0"/>
        <w:jc w:val="center"/>
        <w:rPr>
          <w:rFonts w:ascii="黑体" w:eastAsia="黑体" w:hAnsi="黑体" w:cs="黑体"/>
          <w:bCs/>
        </w:rPr>
      </w:pPr>
    </w:p>
    <w:p w:rsidR="00372A39" w:rsidRDefault="00372A39">
      <w:pPr>
        <w:spacing w:line="360" w:lineRule="auto"/>
        <w:ind w:firstLineChars="200" w:firstLine="560"/>
        <w:sectPr w:rsidR="00372A39">
          <w:pgSz w:w="16838" w:h="11906" w:orient="landscape"/>
          <w:pgMar w:top="1800" w:right="1440" w:bottom="1800" w:left="1440" w:header="851" w:footer="992" w:gutter="0"/>
          <w:pgNumType w:fmt="numberInDash"/>
          <w:cols w:space="425"/>
          <w:docGrid w:type="lines" w:linePitch="312"/>
        </w:sectPr>
      </w:pPr>
    </w:p>
    <w:p w:rsidR="00372A39" w:rsidRDefault="00F54C2B">
      <w:bookmarkStart w:id="73" w:name="_Toc19971_WPSOffice_Level1"/>
      <w:r>
        <w:rPr>
          <w:rFonts w:hint="eastAsia"/>
        </w:rPr>
        <w:lastRenderedPageBreak/>
        <w:t>附图</w:t>
      </w:r>
      <w:r>
        <w:rPr>
          <w:rFonts w:hint="eastAsia"/>
        </w:rPr>
        <w:t xml:space="preserve">1 </w:t>
      </w:r>
      <w:r>
        <w:rPr>
          <w:rFonts w:hint="eastAsia"/>
        </w:rPr>
        <w:t>梅州市当前主要能源设施及用能单位分布</w:t>
      </w:r>
      <w:bookmarkEnd w:id="73"/>
    </w:p>
    <w:p w:rsidR="00372A39" w:rsidRDefault="00F54C2B">
      <w:pPr>
        <w:pStyle w:val="af4"/>
        <w:rPr>
          <w:rFonts w:hint="default"/>
        </w:rPr>
      </w:pPr>
      <w:r>
        <w:rPr>
          <w:noProof/>
        </w:rPr>
        <w:drawing>
          <wp:inline distT="0" distB="0" distL="114300" distR="114300">
            <wp:extent cx="4679950" cy="4385945"/>
            <wp:effectExtent l="0" t="0" r="6350" b="14605"/>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13" cstate="print"/>
                    <a:stretch>
                      <a:fillRect/>
                    </a:stretch>
                  </pic:blipFill>
                  <pic:spPr>
                    <a:xfrm>
                      <a:off x="0" y="0"/>
                      <a:ext cx="4679950" cy="4385945"/>
                    </a:xfrm>
                    <a:prstGeom prst="rect">
                      <a:avLst/>
                    </a:prstGeom>
                    <a:noFill/>
                    <a:ln>
                      <a:noFill/>
                    </a:ln>
                  </pic:spPr>
                </pic:pic>
              </a:graphicData>
            </a:graphic>
          </wp:inline>
        </w:drawing>
      </w:r>
    </w:p>
    <w:p w:rsidR="00372A39" w:rsidRDefault="00F54C2B">
      <w:r>
        <w:br w:type="page"/>
      </w:r>
    </w:p>
    <w:p w:rsidR="00372A39" w:rsidRDefault="00F54C2B">
      <w:bookmarkStart w:id="74" w:name="_Toc5917_WPSOffice_Level1"/>
      <w:r>
        <w:rPr>
          <w:rFonts w:hint="eastAsia"/>
        </w:rPr>
        <w:lastRenderedPageBreak/>
        <w:t>附图</w:t>
      </w:r>
      <w:r>
        <w:rPr>
          <w:rFonts w:hint="eastAsia"/>
        </w:rPr>
        <w:t xml:space="preserve">2 </w:t>
      </w:r>
      <w:r>
        <w:rPr>
          <w:rFonts w:hint="eastAsia"/>
        </w:rPr>
        <w:t>梅州市</w:t>
      </w:r>
      <w:r>
        <w:rPr>
          <w:rFonts w:hint="eastAsia"/>
        </w:rPr>
        <w:t>2005</w:t>
      </w:r>
      <w:r>
        <w:rPr>
          <w:rFonts w:hint="eastAsia"/>
        </w:rPr>
        <w:t>年以来电网建设情况一览表</w:t>
      </w:r>
      <w:bookmarkEnd w:id="74"/>
    </w:p>
    <w:p w:rsidR="00372A39" w:rsidRDefault="00F54C2B">
      <w:pPr>
        <w:pStyle w:val="af4"/>
        <w:rPr>
          <w:rFonts w:hint="default"/>
        </w:rPr>
      </w:pPr>
      <w:r>
        <w:rPr>
          <w:noProof/>
        </w:rPr>
        <w:drawing>
          <wp:inline distT="0" distB="0" distL="114300" distR="114300">
            <wp:extent cx="5268595" cy="2235835"/>
            <wp:effectExtent l="0" t="0" r="8255" b="1206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4" cstate="print"/>
                    <a:stretch>
                      <a:fillRect/>
                    </a:stretch>
                  </pic:blipFill>
                  <pic:spPr>
                    <a:xfrm>
                      <a:off x="0" y="0"/>
                      <a:ext cx="5268595" cy="2235835"/>
                    </a:xfrm>
                    <a:prstGeom prst="rect">
                      <a:avLst/>
                    </a:prstGeom>
                    <a:noFill/>
                    <a:ln>
                      <a:noFill/>
                    </a:ln>
                  </pic:spPr>
                </pic:pic>
              </a:graphicData>
            </a:graphic>
          </wp:inline>
        </w:drawing>
      </w:r>
    </w:p>
    <w:p w:rsidR="00372A39" w:rsidRDefault="00372A39"/>
    <w:p w:rsidR="00372A39" w:rsidRDefault="00F54C2B">
      <w:bookmarkStart w:id="75" w:name="_Toc18122_WPSOffice_Level1"/>
      <w:r>
        <w:rPr>
          <w:rFonts w:hint="eastAsia"/>
        </w:rPr>
        <w:t>附图</w:t>
      </w:r>
      <w:r>
        <w:rPr>
          <w:rFonts w:hint="eastAsia"/>
        </w:rPr>
        <w:t xml:space="preserve">3 </w:t>
      </w:r>
      <w:r>
        <w:rPr>
          <w:rFonts w:hint="eastAsia"/>
        </w:rPr>
        <w:t>梅州市能源消费（一次能源消费）占比结构一览</w:t>
      </w:r>
      <w:bookmarkEnd w:id="75"/>
    </w:p>
    <w:p w:rsidR="00372A39" w:rsidRDefault="00F54C2B">
      <w:pPr>
        <w:pStyle w:val="af4"/>
        <w:rPr>
          <w:rFonts w:hint="default"/>
        </w:rPr>
      </w:pPr>
      <w:r>
        <w:rPr>
          <w:noProof/>
        </w:rPr>
        <w:drawing>
          <wp:inline distT="0" distB="0" distL="114300" distR="114300">
            <wp:extent cx="5272405" cy="3517900"/>
            <wp:effectExtent l="0" t="0" r="4445" b="635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cstate="print"/>
                    <a:stretch>
                      <a:fillRect/>
                    </a:stretch>
                  </pic:blipFill>
                  <pic:spPr>
                    <a:xfrm>
                      <a:off x="0" y="0"/>
                      <a:ext cx="5272405" cy="3517900"/>
                    </a:xfrm>
                    <a:prstGeom prst="rect">
                      <a:avLst/>
                    </a:prstGeom>
                    <a:noFill/>
                    <a:ln>
                      <a:noFill/>
                    </a:ln>
                  </pic:spPr>
                </pic:pic>
              </a:graphicData>
            </a:graphic>
          </wp:inline>
        </w:drawing>
      </w:r>
    </w:p>
    <w:p w:rsidR="00372A39" w:rsidRDefault="00372A39"/>
    <w:sectPr w:rsidR="00372A39" w:rsidSect="00372A39">
      <w:pgSz w:w="11906" w:h="16838"/>
      <w:pgMar w:top="1440" w:right="1800" w:bottom="1440" w:left="1800" w:header="851" w:footer="992" w:gutter="0"/>
      <w:pgNumType w:fmt="numberInDash"/>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820CBF" w15:done="0"/>
  <w15:commentEx w15:paraId="68D41D10" w15:done="0"/>
  <w15:commentEx w15:paraId="0D5E466E" w15:done="0"/>
  <w15:commentEx w15:paraId="4DA67203" w15:done="0"/>
  <w15:commentEx w15:paraId="51873C36" w15:done="0"/>
  <w15:commentEx w15:paraId="42E97E46" w15:done="0"/>
  <w15:commentEx w15:paraId="1876218A" w15:done="0"/>
  <w15:commentEx w15:paraId="068F71F8" w15:done="0"/>
  <w15:commentEx w15:paraId="514F11A3" w15:done="0"/>
  <w15:commentEx w15:paraId="4F6A7D44" w15:done="0"/>
  <w15:commentEx w15:paraId="2D1F5217" w15:done="0"/>
  <w15:commentEx w15:paraId="37944790" w15:done="0"/>
  <w15:commentEx w15:paraId="7C6123A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584" w:rsidRDefault="00354584" w:rsidP="00372A39">
      <w:r>
        <w:separator/>
      </w:r>
    </w:p>
  </w:endnote>
  <w:endnote w:type="continuationSeparator" w:id="1">
    <w:p w:rsidR="00354584" w:rsidRDefault="00354584" w:rsidP="00372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文星黑体">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文星楷体">
    <w:panose1 w:val="0201060900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文星仿宋">
    <w:altName w:val="仿宋"/>
    <w:panose1 w:val="0201060900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36" w:rsidRDefault="00C05936">
    <w:pPr>
      <w:pStyle w:val="a7"/>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36" w:rsidRDefault="00F26EF1">
    <w:pPr>
      <w:pStyle w:val="a7"/>
      <w:jc w:val="both"/>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filled="f" stroked="f" strokeweight=".5pt">
          <v:textbox style="mso-fit-shape-to-text:t" inset="0,0,0,0">
            <w:txbxContent>
              <w:p w:rsidR="00C05936" w:rsidRDefault="00F26EF1">
                <w:pPr>
                  <w:pStyle w:val="a7"/>
                  <w:rPr>
                    <w:rFonts w:eastAsia="宋体"/>
                  </w:rPr>
                </w:pPr>
                <w:fldSimple w:instr=" PAGE  \* MERGEFORMAT ">
                  <w:r w:rsidR="004E7927">
                    <w:rPr>
                      <w:noProof/>
                    </w:rPr>
                    <w:t>I</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36" w:rsidRDefault="00F26EF1">
    <w:pPr>
      <w:pStyle w:val="a7"/>
      <w:jc w:val="both"/>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filled="f" stroked="f" strokeweight=".5pt">
          <v:textbox style="mso-fit-shape-to-text:t" inset="0,0,0,0">
            <w:txbxContent>
              <w:p w:rsidR="00C05936" w:rsidRDefault="00F26EF1">
                <w:pPr>
                  <w:pStyle w:val="a7"/>
                  <w:rPr>
                    <w:rFonts w:eastAsia="宋体"/>
                  </w:rPr>
                </w:pPr>
                <w:fldSimple w:instr=" PAGE  \* MERGEFORMAT ">
                  <w:r w:rsidR="004E7927">
                    <w:rPr>
                      <w:noProof/>
                    </w:rPr>
                    <w:t>- 23 -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584" w:rsidRDefault="00354584" w:rsidP="00372A39">
      <w:r>
        <w:separator/>
      </w:r>
    </w:p>
  </w:footnote>
  <w:footnote w:type="continuationSeparator" w:id="1">
    <w:p w:rsidR="00354584" w:rsidRDefault="00354584" w:rsidP="00372A3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290"/>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72A"/>
    <w:rsid w:val="00054AAA"/>
    <w:rsid w:val="00060A00"/>
    <w:rsid w:val="000F02D3"/>
    <w:rsid w:val="0014781E"/>
    <w:rsid w:val="00167048"/>
    <w:rsid w:val="00170308"/>
    <w:rsid w:val="00172A27"/>
    <w:rsid w:val="00310AB8"/>
    <w:rsid w:val="003169A8"/>
    <w:rsid w:val="00354584"/>
    <w:rsid w:val="00372A39"/>
    <w:rsid w:val="00467F34"/>
    <w:rsid w:val="004E7927"/>
    <w:rsid w:val="004F4662"/>
    <w:rsid w:val="00554148"/>
    <w:rsid w:val="005571A4"/>
    <w:rsid w:val="006A2F6F"/>
    <w:rsid w:val="006A4973"/>
    <w:rsid w:val="00772111"/>
    <w:rsid w:val="007A3B61"/>
    <w:rsid w:val="007B32B8"/>
    <w:rsid w:val="00897121"/>
    <w:rsid w:val="00983CA7"/>
    <w:rsid w:val="009B69CD"/>
    <w:rsid w:val="009F3C25"/>
    <w:rsid w:val="00A355D4"/>
    <w:rsid w:val="00A602CD"/>
    <w:rsid w:val="00A64D96"/>
    <w:rsid w:val="00A64FF4"/>
    <w:rsid w:val="00AA3B25"/>
    <w:rsid w:val="00B72E0D"/>
    <w:rsid w:val="00BA0E4E"/>
    <w:rsid w:val="00BA31D2"/>
    <w:rsid w:val="00BB01BE"/>
    <w:rsid w:val="00BC464A"/>
    <w:rsid w:val="00BC4DB0"/>
    <w:rsid w:val="00C05936"/>
    <w:rsid w:val="00CA7290"/>
    <w:rsid w:val="00CC4D86"/>
    <w:rsid w:val="00D26924"/>
    <w:rsid w:val="00D3335F"/>
    <w:rsid w:val="00DB2B78"/>
    <w:rsid w:val="00E050A2"/>
    <w:rsid w:val="00E22B69"/>
    <w:rsid w:val="00E55B1B"/>
    <w:rsid w:val="00F26EF1"/>
    <w:rsid w:val="00F33406"/>
    <w:rsid w:val="00F54C2B"/>
    <w:rsid w:val="00FF00D1"/>
    <w:rsid w:val="01814026"/>
    <w:rsid w:val="0226682A"/>
    <w:rsid w:val="02506F68"/>
    <w:rsid w:val="028065BB"/>
    <w:rsid w:val="03143F4F"/>
    <w:rsid w:val="045645E4"/>
    <w:rsid w:val="0529000E"/>
    <w:rsid w:val="05B400D9"/>
    <w:rsid w:val="05D27FBD"/>
    <w:rsid w:val="063C3061"/>
    <w:rsid w:val="06D51AE8"/>
    <w:rsid w:val="08254437"/>
    <w:rsid w:val="082951CA"/>
    <w:rsid w:val="09CE2537"/>
    <w:rsid w:val="0A372E0F"/>
    <w:rsid w:val="0B021B6A"/>
    <w:rsid w:val="0CED3999"/>
    <w:rsid w:val="0E2C5365"/>
    <w:rsid w:val="0E7505F1"/>
    <w:rsid w:val="0FFE7F86"/>
    <w:rsid w:val="10067A4D"/>
    <w:rsid w:val="10490E74"/>
    <w:rsid w:val="12F26DAE"/>
    <w:rsid w:val="13B26140"/>
    <w:rsid w:val="143A0988"/>
    <w:rsid w:val="148F5F77"/>
    <w:rsid w:val="15F767DE"/>
    <w:rsid w:val="168149AB"/>
    <w:rsid w:val="16ED5724"/>
    <w:rsid w:val="18985E1B"/>
    <w:rsid w:val="1A15478D"/>
    <w:rsid w:val="1B745349"/>
    <w:rsid w:val="1B8B6B2D"/>
    <w:rsid w:val="1C3465A4"/>
    <w:rsid w:val="1D2054AB"/>
    <w:rsid w:val="1E7E4206"/>
    <w:rsid w:val="1EE133B7"/>
    <w:rsid w:val="1F9B0533"/>
    <w:rsid w:val="1FCF3B59"/>
    <w:rsid w:val="1FF047D4"/>
    <w:rsid w:val="20396874"/>
    <w:rsid w:val="21310CC0"/>
    <w:rsid w:val="22C063EA"/>
    <w:rsid w:val="22EA0966"/>
    <w:rsid w:val="23806875"/>
    <w:rsid w:val="23873994"/>
    <w:rsid w:val="23C07DCE"/>
    <w:rsid w:val="248246BF"/>
    <w:rsid w:val="24D0603D"/>
    <w:rsid w:val="24E33488"/>
    <w:rsid w:val="2530416A"/>
    <w:rsid w:val="2780372D"/>
    <w:rsid w:val="278F2694"/>
    <w:rsid w:val="29D32C4C"/>
    <w:rsid w:val="2B5E7B8E"/>
    <w:rsid w:val="2B9B7FD5"/>
    <w:rsid w:val="2CA52588"/>
    <w:rsid w:val="2CBD3899"/>
    <w:rsid w:val="2D4A3E37"/>
    <w:rsid w:val="2E531F6A"/>
    <w:rsid w:val="2E9D61C0"/>
    <w:rsid w:val="2F9232CA"/>
    <w:rsid w:val="2FD9516D"/>
    <w:rsid w:val="30091F36"/>
    <w:rsid w:val="30721A76"/>
    <w:rsid w:val="30905F6A"/>
    <w:rsid w:val="32463AE8"/>
    <w:rsid w:val="331A749E"/>
    <w:rsid w:val="343C236B"/>
    <w:rsid w:val="354C01DC"/>
    <w:rsid w:val="35EE46D4"/>
    <w:rsid w:val="36960B6F"/>
    <w:rsid w:val="370757EC"/>
    <w:rsid w:val="37741632"/>
    <w:rsid w:val="37BA0C86"/>
    <w:rsid w:val="37DA196C"/>
    <w:rsid w:val="37EC2D8B"/>
    <w:rsid w:val="382E06B9"/>
    <w:rsid w:val="38A233CB"/>
    <w:rsid w:val="38A77E2C"/>
    <w:rsid w:val="39C51721"/>
    <w:rsid w:val="3A52691C"/>
    <w:rsid w:val="3AC714A8"/>
    <w:rsid w:val="3B154E4B"/>
    <w:rsid w:val="3B8E6443"/>
    <w:rsid w:val="3C210DB5"/>
    <w:rsid w:val="3C310BA1"/>
    <w:rsid w:val="3D111E77"/>
    <w:rsid w:val="3E956B4A"/>
    <w:rsid w:val="400B5239"/>
    <w:rsid w:val="402E0066"/>
    <w:rsid w:val="4097406E"/>
    <w:rsid w:val="409C119A"/>
    <w:rsid w:val="42EA664C"/>
    <w:rsid w:val="42FB721B"/>
    <w:rsid w:val="432E78FB"/>
    <w:rsid w:val="43723E92"/>
    <w:rsid w:val="43A23590"/>
    <w:rsid w:val="43D81625"/>
    <w:rsid w:val="440E2849"/>
    <w:rsid w:val="44435F70"/>
    <w:rsid w:val="44972695"/>
    <w:rsid w:val="44D02ECA"/>
    <w:rsid w:val="45F35EC7"/>
    <w:rsid w:val="461533E8"/>
    <w:rsid w:val="469E6311"/>
    <w:rsid w:val="46BD4EA3"/>
    <w:rsid w:val="477E2DA0"/>
    <w:rsid w:val="47BD7358"/>
    <w:rsid w:val="48032A58"/>
    <w:rsid w:val="4A331882"/>
    <w:rsid w:val="4B304387"/>
    <w:rsid w:val="4B503A18"/>
    <w:rsid w:val="4D37283D"/>
    <w:rsid w:val="4DB70337"/>
    <w:rsid w:val="4EB73578"/>
    <w:rsid w:val="4EF4252E"/>
    <w:rsid w:val="4F5F7A60"/>
    <w:rsid w:val="506F0AD6"/>
    <w:rsid w:val="51B16445"/>
    <w:rsid w:val="51CC782D"/>
    <w:rsid w:val="52413E3A"/>
    <w:rsid w:val="52A4709E"/>
    <w:rsid w:val="53994098"/>
    <w:rsid w:val="55CD65CB"/>
    <w:rsid w:val="59DB4623"/>
    <w:rsid w:val="5B64247F"/>
    <w:rsid w:val="5C35044C"/>
    <w:rsid w:val="5C673EDC"/>
    <w:rsid w:val="5C9C7D4D"/>
    <w:rsid w:val="5CAF7E78"/>
    <w:rsid w:val="5CC54E77"/>
    <w:rsid w:val="5CEE695C"/>
    <w:rsid w:val="5D560C10"/>
    <w:rsid w:val="5E1A68FA"/>
    <w:rsid w:val="5E845C71"/>
    <w:rsid w:val="5F4736AC"/>
    <w:rsid w:val="5FD24379"/>
    <w:rsid w:val="6181051A"/>
    <w:rsid w:val="61C941E7"/>
    <w:rsid w:val="62DA4EA2"/>
    <w:rsid w:val="62E05E91"/>
    <w:rsid w:val="63D52184"/>
    <w:rsid w:val="63D7676A"/>
    <w:rsid w:val="64270410"/>
    <w:rsid w:val="648106F9"/>
    <w:rsid w:val="679305EA"/>
    <w:rsid w:val="681C10C2"/>
    <w:rsid w:val="69872F42"/>
    <w:rsid w:val="69B719F6"/>
    <w:rsid w:val="6A786578"/>
    <w:rsid w:val="6A98446D"/>
    <w:rsid w:val="6CAE2FA7"/>
    <w:rsid w:val="6DED134A"/>
    <w:rsid w:val="6DFF584E"/>
    <w:rsid w:val="6E1C50B1"/>
    <w:rsid w:val="6F125C3F"/>
    <w:rsid w:val="6F2603DE"/>
    <w:rsid w:val="6FC96555"/>
    <w:rsid w:val="70E3400E"/>
    <w:rsid w:val="72346A1F"/>
    <w:rsid w:val="7238231A"/>
    <w:rsid w:val="7238490D"/>
    <w:rsid w:val="724534FF"/>
    <w:rsid w:val="758171B8"/>
    <w:rsid w:val="765340AB"/>
    <w:rsid w:val="76906DF0"/>
    <w:rsid w:val="76E72DCD"/>
    <w:rsid w:val="772E67B2"/>
    <w:rsid w:val="77BC7B01"/>
    <w:rsid w:val="77D82FE6"/>
    <w:rsid w:val="788F268A"/>
    <w:rsid w:val="790A62A3"/>
    <w:rsid w:val="798577F6"/>
    <w:rsid w:val="7B2E5144"/>
    <w:rsid w:val="7BE84E6B"/>
    <w:rsid w:val="7BEB1A07"/>
    <w:rsid w:val="7D8E2901"/>
    <w:rsid w:val="7DE00E23"/>
    <w:rsid w:val="7E9F620B"/>
    <w:rsid w:val="7F5C4832"/>
    <w:rsid w:val="7F911F6C"/>
    <w:rsid w:val="7FA23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uiPriority="99" w:qFormat="1"/>
    <w:lsdException w:name="Subtitle" w:qFormat="1"/>
    <w:lsdException w:name="Body Text First Indent 2" w:qFormat="1"/>
    <w:lsdException w:name="Hyperlink" w:uiPriority="99"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72A39"/>
    <w:pPr>
      <w:widowControl w:val="0"/>
      <w:jc w:val="both"/>
    </w:pPr>
    <w:rPr>
      <w:rFonts w:eastAsia="仿宋" w:cs="仿宋"/>
      <w:kern w:val="2"/>
      <w:sz w:val="28"/>
      <w:szCs w:val="28"/>
    </w:rPr>
  </w:style>
  <w:style w:type="paragraph" w:styleId="1">
    <w:name w:val="heading 1"/>
    <w:basedOn w:val="a"/>
    <w:next w:val="a"/>
    <w:qFormat/>
    <w:rsid w:val="00372A39"/>
    <w:pPr>
      <w:keepNext/>
      <w:keepLines/>
      <w:spacing w:before="340" w:after="330" w:line="576" w:lineRule="auto"/>
      <w:outlineLvl w:val="0"/>
    </w:pPr>
    <w:rPr>
      <w:b/>
      <w:kern w:val="44"/>
      <w:sz w:val="44"/>
    </w:rPr>
  </w:style>
  <w:style w:type="paragraph" w:styleId="20">
    <w:name w:val="heading 2"/>
    <w:basedOn w:val="a"/>
    <w:next w:val="a"/>
    <w:unhideWhenUsed/>
    <w:qFormat/>
    <w:rsid w:val="00372A39"/>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rsid w:val="00372A3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372A39"/>
    <w:pPr>
      <w:spacing w:line="480" w:lineRule="exact"/>
      <w:ind w:firstLine="560"/>
    </w:pPr>
    <w:rPr>
      <w:rFonts w:ascii="宋体"/>
      <w:sz w:val="28"/>
    </w:rPr>
  </w:style>
  <w:style w:type="paragraph" w:styleId="a3">
    <w:name w:val="Body Text Indent"/>
    <w:basedOn w:val="a"/>
    <w:uiPriority w:val="99"/>
    <w:qFormat/>
    <w:rsid w:val="00372A39"/>
    <w:pPr>
      <w:ind w:firstLine="600"/>
    </w:pPr>
    <w:rPr>
      <w:rFonts w:eastAsia="宋体"/>
      <w:sz w:val="30"/>
    </w:rPr>
  </w:style>
  <w:style w:type="paragraph" w:styleId="a4">
    <w:name w:val="Document Map"/>
    <w:basedOn w:val="a"/>
    <w:link w:val="Char"/>
    <w:qFormat/>
    <w:rsid w:val="00372A39"/>
    <w:rPr>
      <w:rFonts w:ascii="宋体" w:eastAsia="宋体"/>
      <w:sz w:val="18"/>
      <w:szCs w:val="18"/>
    </w:rPr>
  </w:style>
  <w:style w:type="paragraph" w:styleId="a5">
    <w:name w:val="annotation text"/>
    <w:basedOn w:val="a"/>
    <w:link w:val="Char0"/>
    <w:qFormat/>
    <w:rsid w:val="00372A39"/>
    <w:pPr>
      <w:jc w:val="left"/>
    </w:pPr>
  </w:style>
  <w:style w:type="paragraph" w:styleId="a6">
    <w:name w:val="Balloon Text"/>
    <w:basedOn w:val="a"/>
    <w:link w:val="Char1"/>
    <w:qFormat/>
    <w:rsid w:val="00372A39"/>
    <w:rPr>
      <w:sz w:val="18"/>
      <w:szCs w:val="18"/>
    </w:rPr>
  </w:style>
  <w:style w:type="paragraph" w:styleId="a7">
    <w:name w:val="footer"/>
    <w:basedOn w:val="a"/>
    <w:uiPriority w:val="99"/>
    <w:unhideWhenUsed/>
    <w:qFormat/>
    <w:rsid w:val="00372A39"/>
    <w:pPr>
      <w:tabs>
        <w:tab w:val="center" w:pos="4153"/>
        <w:tab w:val="right" w:pos="8306"/>
      </w:tabs>
      <w:snapToGrid w:val="0"/>
      <w:jc w:val="left"/>
    </w:pPr>
    <w:rPr>
      <w:sz w:val="18"/>
      <w:szCs w:val="18"/>
    </w:rPr>
  </w:style>
  <w:style w:type="paragraph" w:styleId="a8">
    <w:name w:val="header"/>
    <w:basedOn w:val="a"/>
    <w:qFormat/>
    <w:rsid w:val="00372A3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372A39"/>
  </w:style>
  <w:style w:type="paragraph" w:styleId="21">
    <w:name w:val="toc 2"/>
    <w:basedOn w:val="a"/>
    <w:next w:val="a"/>
    <w:uiPriority w:val="39"/>
    <w:unhideWhenUsed/>
    <w:qFormat/>
    <w:rsid w:val="00372A39"/>
    <w:pPr>
      <w:widowControl/>
      <w:tabs>
        <w:tab w:val="right" w:leader="dot" w:pos="8296"/>
      </w:tabs>
      <w:ind w:left="221"/>
      <w:jc w:val="left"/>
    </w:pPr>
    <w:rPr>
      <w:rFonts w:eastAsia="楷体_GB2312" w:cs="Times New Roman"/>
      <w:kern w:val="0"/>
      <w:sz w:val="30"/>
      <w:szCs w:val="30"/>
    </w:rPr>
  </w:style>
  <w:style w:type="paragraph" w:styleId="a9">
    <w:name w:val="Normal (Web)"/>
    <w:basedOn w:val="a"/>
    <w:uiPriority w:val="99"/>
    <w:unhideWhenUsed/>
    <w:qFormat/>
    <w:rsid w:val="00372A39"/>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5"/>
    <w:next w:val="a5"/>
    <w:link w:val="Char2"/>
    <w:qFormat/>
    <w:rsid w:val="00372A39"/>
    <w:rPr>
      <w:b/>
      <w:bCs/>
    </w:rPr>
  </w:style>
  <w:style w:type="table" w:styleId="ab">
    <w:name w:val="Table Grid"/>
    <w:basedOn w:val="a1"/>
    <w:qFormat/>
    <w:rsid w:val="00372A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sid w:val="00372A39"/>
    <w:rPr>
      <w:color w:val="0563C1" w:themeColor="hyperlink"/>
      <w:u w:val="single"/>
    </w:rPr>
  </w:style>
  <w:style w:type="character" w:styleId="ad">
    <w:name w:val="annotation reference"/>
    <w:basedOn w:val="a0"/>
    <w:qFormat/>
    <w:rsid w:val="00372A39"/>
    <w:rPr>
      <w:sz w:val="21"/>
      <w:szCs w:val="21"/>
    </w:rPr>
  </w:style>
  <w:style w:type="paragraph" w:styleId="ae">
    <w:name w:val="List Paragraph"/>
    <w:basedOn w:val="a"/>
    <w:uiPriority w:val="34"/>
    <w:qFormat/>
    <w:rsid w:val="00372A39"/>
    <w:pPr>
      <w:ind w:firstLineChars="200" w:firstLine="420"/>
    </w:pPr>
    <w:rPr>
      <w:rFonts w:ascii="Calibri" w:eastAsia="宋体" w:hAnsi="Calibri" w:cs="Times New Roman"/>
    </w:rPr>
  </w:style>
  <w:style w:type="paragraph" w:customStyle="1" w:styleId="WPSOffice1">
    <w:name w:val="WPSOffice手动目录 1"/>
    <w:qFormat/>
    <w:rsid w:val="00372A39"/>
  </w:style>
  <w:style w:type="paragraph" w:customStyle="1" w:styleId="WPSOffice2">
    <w:name w:val="WPSOffice手动目录 2"/>
    <w:qFormat/>
    <w:rsid w:val="00372A39"/>
    <w:pPr>
      <w:ind w:leftChars="200" w:left="200"/>
    </w:pPr>
  </w:style>
  <w:style w:type="paragraph" w:customStyle="1" w:styleId="af">
    <w:name w:val="一级标题 章"/>
    <w:basedOn w:val="a"/>
    <w:next w:val="a"/>
    <w:qFormat/>
    <w:rsid w:val="00372A39"/>
    <w:pPr>
      <w:keepNext/>
      <w:keepLines/>
      <w:spacing w:beforeLines="50" w:afterLines="50"/>
      <w:jc w:val="center"/>
      <w:outlineLvl w:val="0"/>
    </w:pPr>
    <w:rPr>
      <w:rFonts w:eastAsia="黑体" w:hint="eastAsia"/>
      <w:b/>
      <w:bCs/>
      <w:kern w:val="44"/>
      <w:sz w:val="36"/>
      <w:szCs w:val="36"/>
    </w:rPr>
  </w:style>
  <w:style w:type="paragraph" w:customStyle="1" w:styleId="af0">
    <w:name w:val="二级标题 节"/>
    <w:basedOn w:val="a"/>
    <w:next w:val="a"/>
    <w:qFormat/>
    <w:rsid w:val="00372A39"/>
    <w:pPr>
      <w:spacing w:beforeLines="50" w:afterLines="50"/>
      <w:jc w:val="center"/>
      <w:outlineLvl w:val="1"/>
    </w:pPr>
    <w:rPr>
      <w:rFonts w:eastAsia="黑体" w:cs="黑体" w:hint="eastAsia"/>
      <w:sz w:val="32"/>
      <w:szCs w:val="32"/>
    </w:rPr>
  </w:style>
  <w:style w:type="paragraph" w:customStyle="1" w:styleId="af1">
    <w:name w:val="缩进正文"/>
    <w:basedOn w:val="a"/>
    <w:next w:val="a"/>
    <w:link w:val="Char3"/>
    <w:qFormat/>
    <w:rsid w:val="00372A39"/>
    <w:pPr>
      <w:ind w:firstLineChars="200" w:firstLine="560"/>
    </w:pPr>
    <w:rPr>
      <w:rFonts w:hint="eastAsia"/>
      <w:shd w:val="clear" w:color="auto" w:fill="FFFFFF"/>
    </w:rPr>
  </w:style>
  <w:style w:type="paragraph" w:customStyle="1" w:styleId="af2">
    <w:name w:val="三级标题 普通"/>
    <w:basedOn w:val="a"/>
    <w:next w:val="a"/>
    <w:qFormat/>
    <w:rsid w:val="00372A39"/>
    <w:pPr>
      <w:ind w:firstLineChars="200" w:firstLine="560"/>
      <w:outlineLvl w:val="2"/>
    </w:pPr>
    <w:rPr>
      <w:rFonts w:hint="eastAsia"/>
      <w:b/>
      <w:bCs/>
      <w:shd w:val="clear" w:color="auto" w:fill="FFFFFF"/>
    </w:rPr>
  </w:style>
  <w:style w:type="paragraph" w:customStyle="1" w:styleId="af3">
    <w:name w:val="四级标题 普通"/>
    <w:basedOn w:val="a"/>
    <w:next w:val="a"/>
    <w:qFormat/>
    <w:rsid w:val="00372A39"/>
    <w:pPr>
      <w:keepNext/>
      <w:keepLines/>
      <w:ind w:firstLineChars="200" w:firstLine="883"/>
      <w:outlineLvl w:val="3"/>
    </w:pPr>
    <w:rPr>
      <w:rFonts w:hint="eastAsia"/>
      <w:b/>
      <w:bCs/>
      <w:kern w:val="44"/>
    </w:rPr>
  </w:style>
  <w:style w:type="paragraph" w:customStyle="1" w:styleId="af4">
    <w:name w:val="图片行"/>
    <w:basedOn w:val="a"/>
    <w:next w:val="a"/>
    <w:qFormat/>
    <w:rsid w:val="00372A39"/>
    <w:pPr>
      <w:jc w:val="center"/>
    </w:pPr>
    <w:rPr>
      <w:rFonts w:hint="eastAsia"/>
      <w:shd w:val="clear" w:color="auto" w:fill="FFFFFF"/>
    </w:rPr>
  </w:style>
  <w:style w:type="paragraph" w:customStyle="1" w:styleId="af5">
    <w:name w:val="图表题头"/>
    <w:basedOn w:val="a"/>
    <w:next w:val="a"/>
    <w:qFormat/>
    <w:rsid w:val="00372A39"/>
    <w:pPr>
      <w:adjustRightInd w:val="0"/>
      <w:snapToGrid w:val="0"/>
      <w:jc w:val="center"/>
    </w:pPr>
    <w:rPr>
      <w:sz w:val="24"/>
      <w:szCs w:val="24"/>
    </w:rPr>
  </w:style>
  <w:style w:type="character" w:customStyle="1" w:styleId="Char3">
    <w:name w:val="缩进正文 Char"/>
    <w:link w:val="af1"/>
    <w:qFormat/>
    <w:rsid w:val="00372A39"/>
    <w:rPr>
      <w:rFonts w:ascii="Times New Roman" w:hAnsi="Times New Roman" w:hint="eastAsia"/>
      <w:color w:val="auto"/>
      <w:shd w:val="clear" w:color="auto" w:fill="FFFFFF"/>
    </w:rPr>
  </w:style>
  <w:style w:type="character" w:customStyle="1" w:styleId="Char0">
    <w:name w:val="批注文字 Char"/>
    <w:basedOn w:val="a0"/>
    <w:link w:val="a5"/>
    <w:qFormat/>
    <w:rsid w:val="00372A39"/>
    <w:rPr>
      <w:rFonts w:eastAsia="仿宋" w:cs="仿宋"/>
      <w:kern w:val="2"/>
      <w:sz w:val="28"/>
      <w:szCs w:val="28"/>
    </w:rPr>
  </w:style>
  <w:style w:type="character" w:customStyle="1" w:styleId="Char2">
    <w:name w:val="批注主题 Char"/>
    <w:basedOn w:val="Char0"/>
    <w:link w:val="aa"/>
    <w:qFormat/>
    <w:rsid w:val="00372A39"/>
    <w:rPr>
      <w:rFonts w:eastAsia="仿宋" w:cs="仿宋"/>
      <w:b/>
      <w:bCs/>
      <w:kern w:val="2"/>
      <w:sz w:val="28"/>
      <w:szCs w:val="28"/>
    </w:rPr>
  </w:style>
  <w:style w:type="character" w:customStyle="1" w:styleId="Char1">
    <w:name w:val="批注框文本 Char"/>
    <w:basedOn w:val="a0"/>
    <w:link w:val="a6"/>
    <w:qFormat/>
    <w:rsid w:val="00372A39"/>
    <w:rPr>
      <w:rFonts w:eastAsia="仿宋" w:cs="仿宋"/>
      <w:kern w:val="2"/>
      <w:sz w:val="18"/>
      <w:szCs w:val="18"/>
    </w:rPr>
  </w:style>
  <w:style w:type="character" w:customStyle="1" w:styleId="Char">
    <w:name w:val="文档结构图 Char"/>
    <w:basedOn w:val="a0"/>
    <w:link w:val="a4"/>
    <w:qFormat/>
    <w:rsid w:val="00372A39"/>
    <w:rPr>
      <w:rFonts w:ascii="宋体" w:cs="仿宋"/>
      <w:kern w:val="2"/>
      <w:sz w:val="18"/>
      <w:szCs w:val="18"/>
    </w:rPr>
  </w:style>
</w:styles>
</file>

<file path=word/webSettings.xml><?xml version="1.0" encoding="utf-8"?>
<w:webSettings xmlns:r="http://schemas.openxmlformats.org/officeDocument/2006/relationships" xmlns:w="http://schemas.openxmlformats.org/wordprocessingml/2006/main">
  <w:divs>
    <w:div w:id="213228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sogou.com/lemma/ShowInnerLink.htm?lemmaId=13655&amp;ss_c=ssc.citiao.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888939-a32e-416b-a419-888385c50406}"/>
        <w:category>
          <w:name w:val="常规"/>
          <w:gallery w:val="placeholder"/>
        </w:category>
        <w:types>
          <w:type w:val="bbPlcHdr"/>
        </w:types>
        <w:behaviors>
          <w:behavior w:val="content"/>
        </w:behaviors>
        <w:guid w:val="{9F888939-A32E-416B-A419-888385C50406}"/>
      </w:docPartPr>
      <w:docPartBody>
        <w:p w:rsidR="00681C84" w:rsidRDefault="00681C84">
          <w:r>
            <w:rPr>
              <w:color w:val="808080"/>
            </w:rPr>
            <w:t>单击此处输入文字。</w:t>
          </w:r>
        </w:p>
      </w:docPartBody>
    </w:docPart>
    <w:docPart>
      <w:docPartPr>
        <w:name w:val="{fdc7999e-92b1-4cf3-8df6-8337eb13729d}"/>
        <w:category>
          <w:name w:val="常规"/>
          <w:gallery w:val="placeholder"/>
        </w:category>
        <w:types>
          <w:type w:val="bbPlcHdr"/>
        </w:types>
        <w:behaviors>
          <w:behavior w:val="content"/>
        </w:behaviors>
        <w:guid w:val="{FDC7999E-92B1-4CF3-8DF6-8337EB13729D}"/>
      </w:docPartPr>
      <w:docPartBody>
        <w:p w:rsidR="00681C84" w:rsidRDefault="00681C84">
          <w:r>
            <w:rPr>
              <w:color w:val="808080"/>
            </w:rPr>
            <w:t>单击此处输入文字。</w:t>
          </w:r>
        </w:p>
      </w:docPartBody>
    </w:docPart>
    <w:docPart>
      <w:docPartPr>
        <w:name w:val="{2ee3749c-8ba4-4ff2-80ef-d18d4b61b3bc}"/>
        <w:category>
          <w:name w:val="常规"/>
          <w:gallery w:val="placeholder"/>
        </w:category>
        <w:types>
          <w:type w:val="bbPlcHdr"/>
        </w:types>
        <w:behaviors>
          <w:behavior w:val="content"/>
        </w:behaviors>
        <w:guid w:val="{2EE3749C-8BA4-4FF2-80EF-D18D4B61B3BC}"/>
      </w:docPartPr>
      <w:docPartBody>
        <w:p w:rsidR="00681C84" w:rsidRDefault="00681C84">
          <w:r>
            <w:rPr>
              <w:color w:val="808080"/>
            </w:rPr>
            <w:t>单击此处输入文字。</w:t>
          </w:r>
        </w:p>
      </w:docPartBody>
    </w:docPart>
    <w:docPart>
      <w:docPartPr>
        <w:name w:val="{34c785fa-c12c-4b4e-b9ff-b534f8d08ee5}"/>
        <w:category>
          <w:name w:val="常规"/>
          <w:gallery w:val="placeholder"/>
        </w:category>
        <w:types>
          <w:type w:val="bbPlcHdr"/>
        </w:types>
        <w:behaviors>
          <w:behavior w:val="content"/>
        </w:behaviors>
        <w:guid w:val="{34C785FA-C12C-4B4E-B9FF-B534F8D08EE5}"/>
      </w:docPartPr>
      <w:docPartBody>
        <w:p w:rsidR="00681C84" w:rsidRDefault="00681C84">
          <w:r>
            <w:rPr>
              <w:color w:val="808080"/>
            </w:rPr>
            <w:t>单击此处输入文字。</w:t>
          </w:r>
        </w:p>
      </w:docPartBody>
    </w:docPart>
    <w:docPart>
      <w:docPartPr>
        <w:name w:val="{cd328fab-0a99-4ffc-8995-589a2cef0492}"/>
        <w:category>
          <w:name w:val="常规"/>
          <w:gallery w:val="placeholder"/>
        </w:category>
        <w:types>
          <w:type w:val="bbPlcHdr"/>
        </w:types>
        <w:behaviors>
          <w:behavior w:val="content"/>
        </w:behaviors>
        <w:guid w:val="{CD328FAB-0A99-4FFC-8995-589A2CEF0492}"/>
      </w:docPartPr>
      <w:docPartBody>
        <w:p w:rsidR="00681C84" w:rsidRDefault="00681C84">
          <w:r>
            <w:rPr>
              <w:color w:val="808080"/>
            </w:rPr>
            <w:t>单击此处输入文字。</w:t>
          </w:r>
        </w:p>
      </w:docPartBody>
    </w:docPart>
    <w:docPart>
      <w:docPartPr>
        <w:name w:val="{318459a0-cd79-414c-ade5-9e8688be2c48}"/>
        <w:category>
          <w:name w:val="常规"/>
          <w:gallery w:val="placeholder"/>
        </w:category>
        <w:types>
          <w:type w:val="bbPlcHdr"/>
        </w:types>
        <w:behaviors>
          <w:behavior w:val="content"/>
        </w:behaviors>
        <w:guid w:val="{318459A0-CD79-414C-ADE5-9E8688BE2C48}"/>
      </w:docPartPr>
      <w:docPartBody>
        <w:p w:rsidR="00681C84" w:rsidRDefault="00681C84">
          <w:r>
            <w:rPr>
              <w:color w:val="808080"/>
            </w:rPr>
            <w:t>单击此处输入文字。</w:t>
          </w:r>
        </w:p>
      </w:docPartBody>
    </w:docPart>
    <w:docPart>
      <w:docPartPr>
        <w:name w:val="{5b036439-67ec-46dc-bd4b-f409df54ba86}"/>
        <w:category>
          <w:name w:val="常规"/>
          <w:gallery w:val="placeholder"/>
        </w:category>
        <w:types>
          <w:type w:val="bbPlcHdr"/>
        </w:types>
        <w:behaviors>
          <w:behavior w:val="content"/>
        </w:behaviors>
        <w:guid w:val="{5B036439-67EC-46DC-BD4B-F409DF54BA86}"/>
      </w:docPartPr>
      <w:docPartBody>
        <w:p w:rsidR="00681C84" w:rsidRDefault="00681C84">
          <w:r>
            <w:rPr>
              <w:color w:val="808080"/>
            </w:rPr>
            <w:t>单击此处输入文字。</w:t>
          </w:r>
        </w:p>
      </w:docPartBody>
    </w:docPart>
    <w:docPart>
      <w:docPartPr>
        <w:name w:val="{1a1cbe7c-0be1-4020-bb67-d3ca25c11748}"/>
        <w:category>
          <w:name w:val="常规"/>
          <w:gallery w:val="placeholder"/>
        </w:category>
        <w:types>
          <w:type w:val="bbPlcHdr"/>
        </w:types>
        <w:behaviors>
          <w:behavior w:val="content"/>
        </w:behaviors>
        <w:guid w:val="{1A1CBE7C-0BE1-4020-BB67-D3CA25C11748}"/>
      </w:docPartPr>
      <w:docPartBody>
        <w:p w:rsidR="00681C84" w:rsidRDefault="00681C84">
          <w:r>
            <w:rPr>
              <w:color w:val="808080"/>
            </w:rPr>
            <w:t>单击此处输入文字。</w:t>
          </w:r>
        </w:p>
      </w:docPartBody>
    </w:docPart>
    <w:docPart>
      <w:docPartPr>
        <w:name w:val="{053313f9-859d-4092-b249-497881822df6}"/>
        <w:category>
          <w:name w:val="常规"/>
          <w:gallery w:val="placeholder"/>
        </w:category>
        <w:types>
          <w:type w:val="bbPlcHdr"/>
        </w:types>
        <w:behaviors>
          <w:behavior w:val="content"/>
        </w:behaviors>
        <w:guid w:val="{053313F9-859D-4092-B249-497881822DF6}"/>
      </w:docPartPr>
      <w:docPartBody>
        <w:p w:rsidR="00681C84" w:rsidRDefault="00681C84">
          <w:r>
            <w:rPr>
              <w:color w:val="808080"/>
            </w:rPr>
            <w:t>单击此处输入文字。</w:t>
          </w:r>
        </w:p>
      </w:docPartBody>
    </w:docPart>
    <w:docPart>
      <w:docPartPr>
        <w:name w:val="{cb3815c8-e40d-4a3e-aba6-db9d248cf617}"/>
        <w:category>
          <w:name w:val="常规"/>
          <w:gallery w:val="placeholder"/>
        </w:category>
        <w:types>
          <w:type w:val="bbPlcHdr"/>
        </w:types>
        <w:behaviors>
          <w:behavior w:val="content"/>
        </w:behaviors>
        <w:guid w:val="{CB3815C8-E40D-4A3E-ABA6-DB9D248CF617}"/>
      </w:docPartPr>
      <w:docPartBody>
        <w:p w:rsidR="00681C84" w:rsidRDefault="00681C84">
          <w:r>
            <w:rPr>
              <w:color w:val="808080"/>
            </w:rPr>
            <w:t>单击此处输入文字。</w:t>
          </w:r>
        </w:p>
      </w:docPartBody>
    </w:docPart>
    <w:docPart>
      <w:docPartPr>
        <w:name w:val="{6163c76a-5522-484b-b4ee-636dbf0f2573}"/>
        <w:category>
          <w:name w:val="常规"/>
          <w:gallery w:val="placeholder"/>
        </w:category>
        <w:types>
          <w:type w:val="bbPlcHdr"/>
        </w:types>
        <w:behaviors>
          <w:behavior w:val="content"/>
        </w:behaviors>
        <w:guid w:val="{6163C76A-5522-484B-B4EE-636DBF0F2573}"/>
      </w:docPartPr>
      <w:docPartBody>
        <w:p w:rsidR="00681C84" w:rsidRDefault="00681C84">
          <w:r>
            <w:rPr>
              <w:color w:val="808080"/>
            </w:rPr>
            <w:t>单击此处输入文字。</w:t>
          </w:r>
        </w:p>
      </w:docPartBody>
    </w:docPart>
    <w:docPart>
      <w:docPartPr>
        <w:name w:val="{4f0b7461-69b8-40e8-9721-386f46db37b4}"/>
        <w:category>
          <w:name w:val="常规"/>
          <w:gallery w:val="placeholder"/>
        </w:category>
        <w:types>
          <w:type w:val="bbPlcHdr"/>
        </w:types>
        <w:behaviors>
          <w:behavior w:val="content"/>
        </w:behaviors>
        <w:guid w:val="{4F0B7461-69B8-40E8-9721-386F46DB37B4}"/>
      </w:docPartPr>
      <w:docPartBody>
        <w:p w:rsidR="00681C84" w:rsidRDefault="00681C84">
          <w:r>
            <w:rPr>
              <w:color w:val="808080"/>
            </w:rPr>
            <w:t>单击此处输入文字。</w:t>
          </w:r>
        </w:p>
      </w:docPartBody>
    </w:docPart>
    <w:docPart>
      <w:docPartPr>
        <w:name w:val="{4a0cbbc8-1e1b-43cc-b561-4e9ddc615ba7}"/>
        <w:category>
          <w:name w:val="常规"/>
          <w:gallery w:val="placeholder"/>
        </w:category>
        <w:types>
          <w:type w:val="bbPlcHdr"/>
        </w:types>
        <w:behaviors>
          <w:behavior w:val="content"/>
        </w:behaviors>
        <w:guid w:val="{4A0CBBC8-1E1B-43CC-B561-4E9DDC615BA7}"/>
      </w:docPartPr>
      <w:docPartBody>
        <w:p w:rsidR="00681C84" w:rsidRDefault="00681C84">
          <w:r>
            <w:rPr>
              <w:color w:val="808080"/>
            </w:rPr>
            <w:t>单击此处输入文字。</w:t>
          </w:r>
        </w:p>
      </w:docPartBody>
    </w:docPart>
    <w:docPart>
      <w:docPartPr>
        <w:name w:val="{1117f559-0475-42ae-841b-e12f02ddfbca}"/>
        <w:category>
          <w:name w:val="常规"/>
          <w:gallery w:val="placeholder"/>
        </w:category>
        <w:types>
          <w:type w:val="bbPlcHdr"/>
        </w:types>
        <w:behaviors>
          <w:behavior w:val="content"/>
        </w:behaviors>
        <w:guid w:val="{1117F559-0475-42AE-841B-E12F02DDFBCA}"/>
      </w:docPartPr>
      <w:docPartBody>
        <w:p w:rsidR="00681C84" w:rsidRDefault="00681C84">
          <w:r>
            <w:rPr>
              <w:color w:val="808080"/>
            </w:rPr>
            <w:t>单击此处输入文字。</w:t>
          </w:r>
        </w:p>
      </w:docPartBody>
    </w:docPart>
    <w:docPart>
      <w:docPartPr>
        <w:name w:val="{1b16c3f8-471b-4c97-8c23-8a4d11139d5f}"/>
        <w:category>
          <w:name w:val="常规"/>
          <w:gallery w:val="placeholder"/>
        </w:category>
        <w:types>
          <w:type w:val="bbPlcHdr"/>
        </w:types>
        <w:behaviors>
          <w:behavior w:val="content"/>
        </w:behaviors>
        <w:guid w:val="{1B16C3F8-471B-4C97-8C23-8A4D11139D5F}"/>
      </w:docPartPr>
      <w:docPartBody>
        <w:p w:rsidR="00681C84" w:rsidRDefault="00681C84">
          <w:r>
            <w:rPr>
              <w:color w:val="808080"/>
            </w:rPr>
            <w:t>单击此处输入文字。</w:t>
          </w:r>
        </w:p>
      </w:docPartBody>
    </w:docPart>
    <w:docPart>
      <w:docPartPr>
        <w:name w:val="{6ce14e71-3707-4a9e-a266-adf83354f609}"/>
        <w:category>
          <w:name w:val="常规"/>
          <w:gallery w:val="placeholder"/>
        </w:category>
        <w:types>
          <w:type w:val="bbPlcHdr"/>
        </w:types>
        <w:behaviors>
          <w:behavior w:val="content"/>
        </w:behaviors>
        <w:guid w:val="{6CE14E71-3707-4A9E-A266-ADF83354F609}"/>
      </w:docPartPr>
      <w:docPartBody>
        <w:p w:rsidR="00681C84" w:rsidRDefault="00681C84">
          <w:r>
            <w:rPr>
              <w:color w:val="808080"/>
            </w:rPr>
            <w:t>单击此处输入文字。</w:t>
          </w:r>
        </w:p>
      </w:docPartBody>
    </w:docPart>
    <w:docPart>
      <w:docPartPr>
        <w:name w:val="{61988b1c-bd99-4b9a-a9cb-b46f588da74b}"/>
        <w:category>
          <w:name w:val="常规"/>
          <w:gallery w:val="placeholder"/>
        </w:category>
        <w:types>
          <w:type w:val="bbPlcHdr"/>
        </w:types>
        <w:behaviors>
          <w:behavior w:val="content"/>
        </w:behaviors>
        <w:guid w:val="{61988B1C-BD99-4B9A-A9CB-B46F588DA74B}"/>
      </w:docPartPr>
      <w:docPartBody>
        <w:p w:rsidR="00681C84" w:rsidRDefault="00681C84">
          <w:r>
            <w:rPr>
              <w:color w:val="808080"/>
            </w:rPr>
            <w:t>单击此处输入文字。</w:t>
          </w:r>
        </w:p>
      </w:docPartBody>
    </w:docPart>
    <w:docPart>
      <w:docPartPr>
        <w:name w:val="{6c7fa09e-cc59-4224-89a0-f768dcb03cf8}"/>
        <w:category>
          <w:name w:val="常规"/>
          <w:gallery w:val="placeholder"/>
        </w:category>
        <w:types>
          <w:type w:val="bbPlcHdr"/>
        </w:types>
        <w:behaviors>
          <w:behavior w:val="content"/>
        </w:behaviors>
        <w:guid w:val="{6C7FA09E-CC59-4224-89A0-F768DCB03CF8}"/>
      </w:docPartPr>
      <w:docPartBody>
        <w:p w:rsidR="00681C84" w:rsidRDefault="00681C84">
          <w:r>
            <w:rPr>
              <w:color w:val="808080"/>
            </w:rPr>
            <w:t>单击此处输入文字。</w:t>
          </w:r>
        </w:p>
      </w:docPartBody>
    </w:docPart>
    <w:docPart>
      <w:docPartPr>
        <w:name w:val="{6175acae-a4a9-4291-a4b5-0639a66b75e5}"/>
        <w:category>
          <w:name w:val="常规"/>
          <w:gallery w:val="placeholder"/>
        </w:category>
        <w:types>
          <w:type w:val="bbPlcHdr"/>
        </w:types>
        <w:behaviors>
          <w:behavior w:val="content"/>
        </w:behaviors>
        <w:guid w:val="{6175ACAE-A4A9-4291-A4B5-0639A66B75E5}"/>
      </w:docPartPr>
      <w:docPartBody>
        <w:p w:rsidR="00681C84" w:rsidRDefault="00681C84">
          <w:r>
            <w:rPr>
              <w:color w:val="808080"/>
            </w:rPr>
            <w:t>单击此处输入文字。</w:t>
          </w:r>
        </w:p>
      </w:docPartBody>
    </w:docPart>
    <w:docPart>
      <w:docPartPr>
        <w:name w:val="{b81c8a9e-667b-49e4-8706-5e4dc179b0f1}"/>
        <w:category>
          <w:name w:val="常规"/>
          <w:gallery w:val="placeholder"/>
        </w:category>
        <w:types>
          <w:type w:val="bbPlcHdr"/>
        </w:types>
        <w:behaviors>
          <w:behavior w:val="content"/>
        </w:behaviors>
        <w:guid w:val="{B81C8A9E-667B-49E4-8706-5E4DC179B0F1}"/>
      </w:docPartPr>
      <w:docPartBody>
        <w:p w:rsidR="00681C84" w:rsidRDefault="00681C84">
          <w:r>
            <w:rPr>
              <w:color w:val="808080"/>
            </w:rPr>
            <w:t>单击此处输入文字。</w:t>
          </w:r>
        </w:p>
      </w:docPartBody>
    </w:docPart>
    <w:docPart>
      <w:docPartPr>
        <w:name w:val="{3fde7c2a-b61a-452a-a552-ffdd772302df}"/>
        <w:category>
          <w:name w:val="常规"/>
          <w:gallery w:val="placeholder"/>
        </w:category>
        <w:types>
          <w:type w:val="bbPlcHdr"/>
        </w:types>
        <w:behaviors>
          <w:behavior w:val="content"/>
        </w:behaviors>
        <w:guid w:val="{3FDE7C2A-B61A-452A-A552-FFDD772302DF}"/>
      </w:docPartPr>
      <w:docPartBody>
        <w:p w:rsidR="00681C84" w:rsidRDefault="00681C84">
          <w:r>
            <w:rPr>
              <w:color w:val="808080"/>
            </w:rPr>
            <w:t>单击此处输入文字。</w:t>
          </w:r>
        </w:p>
      </w:docPartBody>
    </w:docPart>
    <w:docPart>
      <w:docPartPr>
        <w:name w:val="{f6a27402-5eb7-40f9-98c3-b3ee442c5fff}"/>
        <w:category>
          <w:name w:val="常规"/>
          <w:gallery w:val="placeholder"/>
        </w:category>
        <w:types>
          <w:type w:val="bbPlcHdr"/>
        </w:types>
        <w:behaviors>
          <w:behavior w:val="content"/>
        </w:behaviors>
        <w:guid w:val="{F6A27402-5EB7-40F9-98C3-B3EE442C5FFF}"/>
      </w:docPartPr>
      <w:docPartBody>
        <w:p w:rsidR="00681C84" w:rsidRDefault="00681C84">
          <w:r>
            <w:rPr>
              <w:color w:val="808080"/>
            </w:rPr>
            <w:t>单击此处输入文字。</w:t>
          </w:r>
        </w:p>
      </w:docPartBody>
    </w:docPart>
    <w:docPart>
      <w:docPartPr>
        <w:name w:val="{6d3e38be-b064-4b84-8262-46ad46d3a2a4}"/>
        <w:category>
          <w:name w:val="常规"/>
          <w:gallery w:val="placeholder"/>
        </w:category>
        <w:types>
          <w:type w:val="bbPlcHdr"/>
        </w:types>
        <w:behaviors>
          <w:behavior w:val="content"/>
        </w:behaviors>
        <w:guid w:val="{6D3E38BE-B064-4B84-8262-46AD46D3A2A4}"/>
      </w:docPartPr>
      <w:docPartBody>
        <w:p w:rsidR="00681C84" w:rsidRDefault="00681C84">
          <w:r>
            <w:rPr>
              <w:color w:val="808080"/>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文星黑体">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文星楷体">
    <w:panose1 w:val="0201060900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文星仿宋">
    <w:altName w:val="仿宋"/>
    <w:panose1 w:val="0201060900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characterSpacingControl w:val="doNotCompress"/>
  <w:compat>
    <w:useFELayout/>
    <w:splitPgBreakAndParaMark/>
  </w:compat>
  <w:rsids>
    <w:rsidRoot w:val="00913AB1"/>
    <w:rsid w:val="001377D2"/>
    <w:rsid w:val="00274AAF"/>
    <w:rsid w:val="005C08C6"/>
    <w:rsid w:val="00681C84"/>
    <w:rsid w:val="006F2C46"/>
    <w:rsid w:val="00913AB1"/>
    <w:rsid w:val="00A12297"/>
    <w:rsid w:val="00A32896"/>
    <w:rsid w:val="00B725BD"/>
    <w:rsid w:val="00DA1008"/>
    <w:rsid w:val="00DC1993"/>
    <w:rsid w:val="00F244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C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09DEAA-DA50-46C0-9807-3EC56DAF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37</Pages>
  <Words>3323</Words>
  <Characters>18947</Characters>
  <Application>Microsoft Office Word</Application>
  <DocSecurity>0</DocSecurity>
  <Lines>157</Lines>
  <Paragraphs>44</Paragraphs>
  <ScaleCrop>false</ScaleCrop>
  <Company>Chinese ORG</Company>
  <LinksUpToDate>false</LinksUpToDate>
  <CharactersWithSpaces>22226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Micorosoft</cp:lastModifiedBy>
  <cp:revision>19</cp:revision>
  <cp:lastPrinted>2021-04-16T09:26:00Z</cp:lastPrinted>
  <dcterms:created xsi:type="dcterms:W3CDTF">2020-11-27T07:54:00Z</dcterms:created>
  <dcterms:modified xsi:type="dcterms:W3CDTF">2021-07-09T14:39:00Z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